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D8C2" w14:textId="77777777" w:rsidR="007A6E01" w:rsidRDefault="00D62F7F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 </w:t>
      </w:r>
      <w:r w:rsidR="007A6E01">
        <w:rPr>
          <w:rFonts w:ascii="Times New Roman" w:hAnsi="Times New Roman" w:cs="Times New Roman"/>
          <w:b/>
        </w:rPr>
        <w:t>ВАКАНТНОЇ ПОСАДИ</w:t>
      </w:r>
    </w:p>
    <w:p w14:paraId="704E59BB" w14:textId="50D79556" w:rsidR="00AA41B3" w:rsidRPr="00782232" w:rsidRDefault="00686B11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державної служби категорії «</w:t>
      </w:r>
      <w:r w:rsidR="006E471D">
        <w:rPr>
          <w:rFonts w:ascii="Times New Roman" w:hAnsi="Times New Roman" w:cs="Times New Roman"/>
          <w:b/>
        </w:rPr>
        <w:t>В</w:t>
      </w:r>
      <w:r w:rsidR="00AA41B3" w:rsidRPr="00782232">
        <w:rPr>
          <w:rFonts w:ascii="Times New Roman" w:hAnsi="Times New Roman" w:cs="Times New Roman"/>
          <w:b/>
        </w:rPr>
        <w:t>»</w:t>
      </w:r>
      <w:r w:rsidR="00900BCD">
        <w:rPr>
          <w:rFonts w:ascii="Times New Roman" w:hAnsi="Times New Roman" w:cs="Times New Roman"/>
          <w:b/>
        </w:rPr>
        <w:t xml:space="preserve"> </w:t>
      </w:r>
      <w:r w:rsidR="00AA41B3" w:rsidRPr="00782232">
        <w:rPr>
          <w:rFonts w:ascii="Times New Roman" w:hAnsi="Times New Roman" w:cs="Times New Roman"/>
          <w:b/>
        </w:rPr>
        <w:t xml:space="preserve"> -</w:t>
      </w:r>
    </w:p>
    <w:p w14:paraId="08D5488F" w14:textId="0678E119" w:rsidR="00AA41B3" w:rsidRPr="006E471D" w:rsidRDefault="007A30A6" w:rsidP="007831F8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04882240"/>
      <w:bookmarkStart w:id="1" w:name="_Hlk93394389"/>
      <w:r>
        <w:rPr>
          <w:rFonts w:ascii="Times New Roman" w:hAnsi="Times New Roman" w:cs="Times New Roman"/>
          <w:b/>
          <w:szCs w:val="28"/>
          <w:u w:val="single"/>
        </w:rPr>
        <w:t xml:space="preserve">Головний </w:t>
      </w:r>
      <w:r w:rsidR="00F85A50" w:rsidRPr="00F85A50">
        <w:rPr>
          <w:rFonts w:ascii="Times New Roman" w:hAnsi="Times New Roman" w:cs="Times New Roman"/>
          <w:b/>
          <w:szCs w:val="28"/>
          <w:u w:val="single"/>
        </w:rPr>
        <w:t xml:space="preserve">спеціаліст </w:t>
      </w:r>
      <w:bookmarkEnd w:id="0"/>
      <w:bookmarkEnd w:id="1"/>
      <w:r w:rsidR="007831F8">
        <w:rPr>
          <w:rFonts w:ascii="Times New Roman" w:hAnsi="Times New Roman" w:cs="Times New Roman"/>
          <w:b/>
          <w:szCs w:val="28"/>
          <w:u w:val="single"/>
        </w:rPr>
        <w:t>Миколаївської окружної прокуратури Миколаївської області</w:t>
      </w:r>
    </w:p>
    <w:p w14:paraId="794D3F88" w14:textId="77777777" w:rsidR="00AA41B3" w:rsidRPr="00782232" w:rsidRDefault="00AA41B3" w:rsidP="001330BA">
      <w:pPr>
        <w:jc w:val="center"/>
        <w:rPr>
          <w:rFonts w:ascii="Times New Roman" w:eastAsia="Calibri" w:hAnsi="Times New Roman" w:cs="Times New Roman"/>
          <w:b/>
          <w:spacing w:val="-2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AA41B3" w:rsidRPr="00782232" w14:paraId="2FBD130A" w14:textId="77777777" w:rsidTr="001330BA">
        <w:trPr>
          <w:trHeight w:val="339"/>
        </w:trPr>
        <w:tc>
          <w:tcPr>
            <w:tcW w:w="9640" w:type="dxa"/>
            <w:gridSpan w:val="3"/>
            <w:vAlign w:val="center"/>
          </w:tcPr>
          <w:p w14:paraId="238B3D58" w14:textId="77777777" w:rsidR="00AA41B3" w:rsidRPr="001330BA" w:rsidRDefault="00AA41B3" w:rsidP="00133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6E471D" w:rsidRPr="00782232" w14:paraId="2980F980" w14:textId="77777777" w:rsidTr="00656FBE">
        <w:trPr>
          <w:trHeight w:val="6796"/>
        </w:trPr>
        <w:tc>
          <w:tcPr>
            <w:tcW w:w="3330" w:type="dxa"/>
            <w:gridSpan w:val="2"/>
          </w:tcPr>
          <w:p w14:paraId="039037B6" w14:textId="77777777" w:rsidR="006E471D" w:rsidRPr="00782232" w:rsidRDefault="006E471D" w:rsidP="006E471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6310" w:type="dxa"/>
          </w:tcPr>
          <w:p w14:paraId="43C1BC2B" w14:textId="3BF702A8" w:rsidR="00AA51DF" w:rsidRDefault="007F09FE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7F09FE">
              <w:rPr>
                <w:rFonts w:ascii="Times New Roman" w:hAnsi="Times New Roman" w:cs="Times New Roman"/>
                <w:iCs/>
              </w:rPr>
              <w:t xml:space="preserve">еєстрація вхідної, вихідної та внутрішньої кореспонденції  в  </w:t>
            </w:r>
            <w:r>
              <w:rPr>
                <w:rFonts w:ascii="Times New Roman" w:hAnsi="Times New Roman" w:cs="Times New Roman"/>
                <w:iCs/>
              </w:rPr>
              <w:t>інформаційній системі електронного докуме</w:t>
            </w:r>
            <w:r w:rsidR="00E63C8D">
              <w:rPr>
                <w:rFonts w:ascii="Times New Roman" w:hAnsi="Times New Roman" w:cs="Times New Roman"/>
                <w:iCs/>
              </w:rPr>
              <w:t>н</w:t>
            </w:r>
            <w:r>
              <w:rPr>
                <w:rFonts w:ascii="Times New Roman" w:hAnsi="Times New Roman" w:cs="Times New Roman"/>
                <w:iCs/>
              </w:rPr>
              <w:t>тообігу</w:t>
            </w:r>
            <w:r w:rsidRPr="007F09FE">
              <w:rPr>
                <w:rFonts w:ascii="Times New Roman" w:hAnsi="Times New Roman" w:cs="Times New Roman"/>
                <w:iCs/>
              </w:rPr>
              <w:t>. Моніторинг та опрацювання документів з офіційної електронної адреси.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F09FE">
              <w:rPr>
                <w:rFonts w:ascii="Times New Roman" w:hAnsi="Times New Roman" w:cs="Times New Roman"/>
                <w:iCs/>
              </w:rPr>
              <w:t xml:space="preserve">Забезпечення відправки документів адресатам з використанням реєстрів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Pr="007F09FE">
              <w:rPr>
                <w:rFonts w:ascii="Times New Roman" w:hAnsi="Times New Roman" w:cs="Times New Roman"/>
                <w:iCs/>
              </w:rPr>
              <w:t xml:space="preserve">та за допомогою фельд'єгерського або поштового зв'язку, а також кур'єром, </w:t>
            </w:r>
            <w:r w:rsidR="001869CF">
              <w:rPr>
                <w:rFonts w:ascii="Times New Roman" w:hAnsi="Times New Roman" w:cs="Times New Roman"/>
                <w:iCs/>
              </w:rPr>
              <w:t>с</w:t>
            </w:r>
            <w:r w:rsidRPr="007F09FE">
              <w:rPr>
                <w:rFonts w:ascii="Times New Roman" w:hAnsi="Times New Roman" w:cs="Times New Roman"/>
                <w:iCs/>
              </w:rPr>
              <w:t xml:space="preserve">пілкування з громадянами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    </w:t>
            </w:r>
            <w:r w:rsidRPr="007F09FE">
              <w:rPr>
                <w:rFonts w:ascii="Times New Roman" w:hAnsi="Times New Roman" w:cs="Times New Roman"/>
                <w:iCs/>
              </w:rPr>
              <w:t>та представниками юриди</w:t>
            </w:r>
            <w:r>
              <w:rPr>
                <w:rFonts w:ascii="Times New Roman" w:hAnsi="Times New Roman" w:cs="Times New Roman"/>
                <w:iCs/>
              </w:rPr>
              <w:t>ч</w:t>
            </w:r>
            <w:r w:rsidRPr="007F09FE">
              <w:rPr>
                <w:rFonts w:ascii="Times New Roman" w:hAnsi="Times New Roman" w:cs="Times New Roman"/>
                <w:iCs/>
              </w:rPr>
              <w:t>них осіб щодо обігу кореспонденції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</w:p>
          <w:p w14:paraId="41021059" w14:textId="348D3F5D" w:rsidR="001179F2" w:rsidRPr="00667254" w:rsidRDefault="00E63C8D" w:rsidP="0012242C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E63C8D">
              <w:rPr>
                <w:rFonts w:ascii="Times New Roman" w:hAnsi="Times New Roman" w:cs="Times New Roman"/>
                <w:iCs/>
              </w:rPr>
              <w:t xml:space="preserve">ередача кореспонденції на розгляд керівнику прокуратури, забезпечення оперативного проходження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</w:t>
            </w:r>
            <w:r w:rsidRPr="00E63C8D">
              <w:rPr>
                <w:rFonts w:ascii="Times New Roman" w:hAnsi="Times New Roman" w:cs="Times New Roman"/>
                <w:iCs/>
              </w:rPr>
              <w:t>і збереження документів.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Заведення та формування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 вказівкою керівника окружної прокуратури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</w:t>
            </w:r>
            <w:r w:rsidRPr="00E63C8D">
              <w:rPr>
                <w:rFonts w:ascii="Times New Roman" w:hAnsi="Times New Roman" w:cs="Times New Roman"/>
                <w:iCs/>
              </w:rPr>
              <w:t>або оперативного працівника наглядових проваджень</w:t>
            </w:r>
            <w:r w:rsidR="001179F2" w:rsidRPr="00667254">
              <w:rPr>
                <w:rFonts w:ascii="Times New Roman" w:hAnsi="Times New Roman" w:cs="Times New Roman"/>
                <w:iCs/>
              </w:rPr>
              <w:t>;</w:t>
            </w:r>
          </w:p>
          <w:p w14:paraId="38691A33" w14:textId="079D7533" w:rsidR="001179F2" w:rsidRDefault="00E63C8D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E63C8D">
              <w:rPr>
                <w:rFonts w:ascii="Times New Roman" w:hAnsi="Times New Roman" w:cs="Times New Roman"/>
                <w:iCs/>
              </w:rPr>
              <w:t xml:space="preserve">кладання номенклатури справ спільно з керівником прокуратури. Систематизація виконаних документів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</w:t>
            </w:r>
            <w:r w:rsidRPr="00E63C8D">
              <w:rPr>
                <w:rFonts w:ascii="Times New Roman" w:hAnsi="Times New Roman" w:cs="Times New Roman"/>
                <w:iCs/>
              </w:rPr>
              <w:t>у номенклатурні справи та наглядові провадження.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Забезпечення додержання встановленого порядку відбору,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обліку, якості обробки документів, які підлягають передачі</w:t>
            </w:r>
            <w:r>
              <w:rPr>
                <w:rFonts w:ascii="Times New Roman" w:hAnsi="Times New Roman" w:cs="Times New Roman"/>
                <w:iCs/>
              </w:rPr>
              <w:t xml:space="preserve"> д</w:t>
            </w:r>
            <w:r w:rsidRPr="00E63C8D">
              <w:rPr>
                <w:rFonts w:ascii="Times New Roman" w:hAnsi="Times New Roman" w:cs="Times New Roman"/>
                <w:iCs/>
              </w:rPr>
              <w:t>о архіву прокуратури, складання опису до них, підготовка актів про вилучення для знищення документів та справ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  <w:r w:rsidR="00C65EFF">
              <w:rPr>
                <w:rFonts w:ascii="Times New Roman" w:hAnsi="Times New Roman" w:cs="Times New Roman"/>
                <w:iCs/>
              </w:rPr>
              <w:t xml:space="preserve">     </w:t>
            </w:r>
            <w:r w:rsidR="002127C4">
              <w:rPr>
                <w:rFonts w:ascii="Times New Roman" w:hAnsi="Times New Roman" w:cs="Times New Roman"/>
                <w:iCs/>
              </w:rPr>
              <w:t xml:space="preserve">  </w:t>
            </w:r>
            <w:r w:rsidR="000217C0">
              <w:rPr>
                <w:rFonts w:ascii="Times New Roman" w:hAnsi="Times New Roman" w:cs="Times New Roman"/>
                <w:iCs/>
              </w:rPr>
              <w:t xml:space="preserve"> </w:t>
            </w:r>
            <w:r w:rsidR="00AF2CC7">
              <w:rPr>
                <w:rFonts w:ascii="Times New Roman" w:hAnsi="Times New Roman" w:cs="Times New Roman"/>
                <w:iCs/>
              </w:rPr>
              <w:t xml:space="preserve">  </w:t>
            </w:r>
            <w:r w:rsidR="00F9787F">
              <w:rPr>
                <w:rFonts w:ascii="Times New Roman" w:hAnsi="Times New Roman" w:cs="Times New Roman"/>
                <w:iCs/>
              </w:rPr>
              <w:t xml:space="preserve">   </w:t>
            </w:r>
            <w:r w:rsidR="00807392">
              <w:rPr>
                <w:rFonts w:ascii="Times New Roman" w:hAnsi="Times New Roman" w:cs="Times New Roman"/>
                <w:iCs/>
              </w:rPr>
              <w:t xml:space="preserve">   </w:t>
            </w:r>
            <w:r w:rsidR="00A5490B">
              <w:rPr>
                <w:rFonts w:ascii="Times New Roman" w:hAnsi="Times New Roman" w:cs="Times New Roman"/>
                <w:iCs/>
              </w:rPr>
              <w:t xml:space="preserve"> </w:t>
            </w:r>
            <w:r w:rsidR="00903726">
              <w:rPr>
                <w:rFonts w:ascii="Times New Roman" w:hAnsi="Times New Roman" w:cs="Times New Roman"/>
                <w:iCs/>
              </w:rPr>
              <w:t xml:space="preserve">   </w:t>
            </w:r>
          </w:p>
          <w:p w14:paraId="1C66A97E" w14:textId="06540A9B" w:rsidR="001179F2" w:rsidRPr="00AE1A7D" w:rsidRDefault="00927189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="000142DB" w:rsidRPr="000142DB">
              <w:rPr>
                <w:rFonts w:ascii="Times New Roman" w:hAnsi="Times New Roman" w:cs="Times New Roman"/>
                <w:iCs/>
              </w:rPr>
              <w:t>едення обліку, зберігання, розмноження документів з грифом" Для службового користування". Виконання окремих завдань з кадрової роботи у сфері державної служби та інших службових доручень наданих керівництвом окружної прокуратури.</w:t>
            </w:r>
          </w:p>
        </w:tc>
      </w:tr>
      <w:tr w:rsidR="0076270F" w:rsidRPr="00782232" w14:paraId="0AF8FCD3" w14:textId="77777777" w:rsidTr="001330BA">
        <w:trPr>
          <w:trHeight w:val="289"/>
        </w:trPr>
        <w:tc>
          <w:tcPr>
            <w:tcW w:w="3330" w:type="dxa"/>
            <w:gridSpan w:val="2"/>
          </w:tcPr>
          <w:p w14:paraId="53F07C37" w14:textId="77777777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4BDA2638" w14:textId="75451E97" w:rsidR="007A6E01" w:rsidRPr="00EC33D2" w:rsidRDefault="00B11A3D" w:rsidP="00B11A3D">
            <w:pPr>
              <w:pStyle w:val="af"/>
              <w:jc w:val="both"/>
              <w:rPr>
                <w:rFonts w:ascii="Times New Roman" w:hAnsi="Times New Roman" w:cs="Times New Roman"/>
                <w:lang w:val="ru-UA" w:eastAsia="ru-UA" w:bidi="ar-SA"/>
              </w:rPr>
            </w:pPr>
            <w:r w:rsidRPr="00756333">
              <w:rPr>
                <w:rFonts w:ascii="Times New Roman" w:hAnsi="Times New Roman" w:cs="Times New Roman"/>
              </w:rPr>
              <w:t xml:space="preserve">посадовий оклад, надбавки, доплати, </w:t>
            </w:r>
            <w:r w:rsidRPr="00756333">
              <w:rPr>
                <w:rFonts w:ascii="Times New Roman" w:hAnsi="Times New Roman" w:cs="Times New Roman"/>
              </w:rPr>
              <w:br/>
              <w:t>премії та компенсації відповідно до статей 50</w:t>
            </w:r>
            <w:r>
              <w:rPr>
                <w:rFonts w:ascii="Times New Roman" w:hAnsi="Times New Roman" w:cs="Times New Roman"/>
              </w:rPr>
              <w:t>-52</w:t>
            </w:r>
            <w:r w:rsidRPr="00756333">
              <w:rPr>
                <w:rFonts w:ascii="Times New Roman" w:hAnsi="Times New Roman" w:cs="Times New Roman"/>
              </w:rPr>
              <w:t xml:space="preserve"> Закону України «Про державну службу», </w:t>
            </w:r>
            <w:r w:rsidRPr="00756333">
              <w:rPr>
                <w:rFonts w:ascii="Times New Roman" w:hAnsi="Times New Roman" w:cs="Times New Roman"/>
                <w:szCs w:val="28"/>
              </w:rPr>
              <w:t>Закону України «Про Державний бюджет України на 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 рік», постанов Кабінету Міністрів України від 18 січня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</w:t>
            </w:r>
            <w:r w:rsidRPr="00756333">
              <w:rPr>
                <w:rFonts w:ascii="Times New Roman" w:hAnsi="Times New Roman" w:cs="Times New Roman"/>
                <w:szCs w:val="28"/>
              </w:rPr>
              <w:t>у 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 році»</w:t>
            </w:r>
          </w:p>
        </w:tc>
      </w:tr>
      <w:tr w:rsidR="0076270F" w:rsidRPr="00782232" w14:paraId="392FF6F4" w14:textId="77777777" w:rsidTr="001330BA">
        <w:trPr>
          <w:trHeight w:val="845"/>
        </w:trPr>
        <w:tc>
          <w:tcPr>
            <w:tcW w:w="3330" w:type="dxa"/>
            <w:gridSpan w:val="2"/>
          </w:tcPr>
          <w:p w14:paraId="0D07F343" w14:textId="747F788A" w:rsidR="0076270F" w:rsidRPr="00782232" w:rsidRDefault="0076270F" w:rsidP="00762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82232">
              <w:rPr>
                <w:rFonts w:ascii="Times New Roman" w:hAnsi="Times New Roman" w:cs="Times New Roman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1551C3D" w14:textId="11075ADB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період дії воєнного стану в Україні </w:t>
            </w:r>
            <w:r w:rsidR="00927189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з граничним строком перебування на посаді не більше </w:t>
            </w:r>
            <w:r w:rsidR="00927189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12 місяців з дня припинення чи скасування воєнного стану.</w:t>
            </w:r>
          </w:p>
          <w:p w14:paraId="050C0532" w14:textId="30B83D75" w:rsidR="007A6E01" w:rsidRPr="0076270F" w:rsidRDefault="0076270F" w:rsidP="00EB0556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6270F" w:rsidRPr="00782232" w14:paraId="50D8892C" w14:textId="77777777" w:rsidTr="001330BA">
        <w:tc>
          <w:tcPr>
            <w:tcW w:w="3330" w:type="dxa"/>
            <w:gridSpan w:val="2"/>
          </w:tcPr>
          <w:p w14:paraId="0021B36E" w14:textId="185C1F43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Перелік </w:t>
            </w:r>
            <w:r>
              <w:rPr>
                <w:rFonts w:ascii="Times New Roman" w:hAnsi="Times New Roman" w:cs="Times New Roman"/>
              </w:rPr>
              <w:t xml:space="preserve">документів, які необхідно надати для </w:t>
            </w:r>
            <w:r>
              <w:rPr>
                <w:rFonts w:ascii="Times New Roman" w:hAnsi="Times New Roman" w:cs="Times New Roman"/>
              </w:rPr>
              <w:lastRenderedPageBreak/>
              <w:t>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2F59DD47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lastRenderedPageBreak/>
              <w:t>заява про призначення на посаду на період дії воєнного стану;</w:t>
            </w:r>
          </w:p>
          <w:p w14:paraId="53FC542D" w14:textId="0631C6CD" w:rsidR="00F1305F" w:rsidRPr="00A07621" w:rsidRDefault="005D65CA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>
              <w:lastRenderedPageBreak/>
              <w:t xml:space="preserve"> </w:t>
            </w:r>
            <w:r w:rsidR="00F1305F"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2" w:name="n23"/>
            <w:bookmarkEnd w:id="2"/>
            <w:r w:rsidR="00F1305F" w:rsidRPr="00A07621">
              <w:t>);</w:t>
            </w:r>
          </w:p>
          <w:p w14:paraId="123618AB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3" w:name="n25"/>
            <w:bookmarkEnd w:id="3"/>
            <w:r w:rsidRPr="00A07621">
              <w:t>громадянина України;</w:t>
            </w:r>
          </w:p>
          <w:p w14:paraId="405D1530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4" w:name="n26"/>
            <w:bookmarkEnd w:id="4"/>
          </w:p>
          <w:p w14:paraId="4E02ADB3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5" w:name="n27"/>
            <w:bookmarkEnd w:id="5"/>
          </w:p>
          <w:p w14:paraId="57CE8F02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трудової книжки;</w:t>
            </w:r>
          </w:p>
          <w:p w14:paraId="0E653DFE" w14:textId="53A71105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A07621">
                <w:rPr>
                  <w:rStyle w:val="ae"/>
                  <w:color w:val="auto"/>
                  <w:u w:val="none"/>
                </w:rPr>
                <w:t>Закону України</w:t>
              </w:r>
            </w:hyperlink>
            <w:r w:rsidRPr="00A07621">
              <w:t> «Про очищення влади» (за наявності);</w:t>
            </w:r>
          </w:p>
          <w:p w14:paraId="040104D8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 наявності);</w:t>
            </w:r>
          </w:p>
          <w:p w14:paraId="362381AD" w14:textId="1CD039DF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14:paraId="1E1DAA3F" w14:textId="7318EDC7" w:rsidR="00F1305F" w:rsidRPr="00A07621" w:rsidRDefault="00F1305F" w:rsidP="00F1305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27ED2CB3" w14:textId="3EED3E2C" w:rsidR="007A6E01" w:rsidRPr="00A07621" w:rsidRDefault="00F1305F" w:rsidP="00EB055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A07621">
              <w:t xml:space="preserve">Документи приймаються </w:t>
            </w:r>
            <w:r w:rsidRPr="00A07621">
              <w:rPr>
                <w:b/>
                <w:bCs/>
              </w:rPr>
              <w:t xml:space="preserve">до </w:t>
            </w:r>
            <w:r w:rsidR="0090233C">
              <w:rPr>
                <w:b/>
                <w:bCs/>
              </w:rPr>
              <w:t>30</w:t>
            </w:r>
            <w:r w:rsidR="00B665B2">
              <w:rPr>
                <w:b/>
                <w:bCs/>
              </w:rPr>
              <w:t xml:space="preserve"> </w:t>
            </w:r>
            <w:r w:rsidR="0090233C">
              <w:rPr>
                <w:b/>
                <w:bCs/>
              </w:rPr>
              <w:t>липня</w:t>
            </w:r>
            <w:r w:rsidRPr="004D1607">
              <w:rPr>
                <w:b/>
                <w:bCs/>
              </w:rPr>
              <w:t xml:space="preserve"> </w:t>
            </w:r>
            <w:r w:rsidRPr="00DA11A4">
              <w:rPr>
                <w:b/>
                <w:bCs/>
              </w:rPr>
              <w:t>202</w:t>
            </w:r>
            <w:r w:rsidR="0090233C">
              <w:rPr>
                <w:b/>
                <w:bCs/>
              </w:rPr>
              <w:t>5</w:t>
            </w:r>
            <w:r w:rsidRPr="00DA11A4">
              <w:rPr>
                <w:b/>
                <w:bCs/>
              </w:rPr>
              <w:t xml:space="preserve"> року</w:t>
            </w:r>
            <w:r w:rsidRPr="00DA11A4">
              <w:t xml:space="preserve"> </w:t>
            </w:r>
            <w:r w:rsidR="00A07621" w:rsidRPr="00C10BC5">
              <w:t>за</w:t>
            </w:r>
            <w:r w:rsidR="00A07621">
              <w:t xml:space="preserve"> </w:t>
            </w:r>
            <w:proofErr w:type="spellStart"/>
            <w:r w:rsidR="00A07621">
              <w:t>адресою</w:t>
            </w:r>
            <w:proofErr w:type="spellEnd"/>
            <w:r w:rsidR="00A07621">
              <w:t xml:space="preserve">: </w:t>
            </w:r>
            <w:r w:rsidRPr="00A07621">
              <w:rPr>
                <w:b/>
                <w:bCs/>
              </w:rPr>
              <w:t xml:space="preserve">вул. </w:t>
            </w:r>
            <w:r w:rsidR="00927189">
              <w:rPr>
                <w:b/>
                <w:bCs/>
              </w:rPr>
              <w:t>Бузький Бульвар</w:t>
            </w:r>
            <w:r w:rsidRPr="00A07621">
              <w:rPr>
                <w:b/>
                <w:bCs/>
              </w:rPr>
              <w:t xml:space="preserve">, 15, м. </w:t>
            </w:r>
            <w:r w:rsidR="00927189">
              <w:rPr>
                <w:b/>
                <w:bCs/>
              </w:rPr>
              <w:t>Миколаїв</w:t>
            </w:r>
            <w:r w:rsidRPr="00A07621">
              <w:rPr>
                <w:b/>
                <w:bCs/>
              </w:rPr>
              <w:t xml:space="preserve">, </w:t>
            </w:r>
            <w:r w:rsidR="00927189">
              <w:rPr>
                <w:b/>
                <w:bCs/>
              </w:rPr>
              <w:t>54050</w:t>
            </w:r>
            <w:r w:rsidR="00AD2AC8">
              <w:rPr>
                <w:b/>
                <w:bCs/>
              </w:rPr>
              <w:t xml:space="preserve">, </w:t>
            </w:r>
            <w:hyperlink r:id="rId8" w:history="1">
              <w:r w:rsidR="00A018E8" w:rsidRPr="00F8010E">
                <w:rPr>
                  <w:rStyle w:val="ae"/>
                  <w:b/>
                  <w:bCs/>
                  <w:shd w:val="clear" w:color="auto" w:fill="FFFFFF"/>
                </w:rPr>
                <w:t>mykokrug@myk.gp.gov.ua</w:t>
              </w:r>
            </w:hyperlink>
            <w:r w:rsidR="00A018E8">
              <w:rPr>
                <w:b/>
                <w:bCs/>
                <w:color w:val="000000" w:themeColor="text1"/>
                <w:shd w:val="clear" w:color="auto" w:fill="FFFFFF"/>
              </w:rPr>
              <w:t xml:space="preserve">, </w:t>
            </w:r>
            <w:r w:rsidR="00A018E8" w:rsidRPr="00A018E8">
              <w:rPr>
                <w:color w:val="1F2C4F"/>
                <w:shd w:val="clear" w:color="auto" w:fill="FFFFFF"/>
              </w:rPr>
              <w:t>(0512) 53-36-38</w:t>
            </w:r>
          </w:p>
        </w:tc>
      </w:tr>
      <w:tr w:rsidR="00A07621" w:rsidRPr="00782232" w14:paraId="491831DE" w14:textId="77777777" w:rsidTr="001330BA">
        <w:trPr>
          <w:trHeight w:val="1449"/>
        </w:trPr>
        <w:tc>
          <w:tcPr>
            <w:tcW w:w="3330" w:type="dxa"/>
            <w:gridSpan w:val="2"/>
          </w:tcPr>
          <w:p w14:paraId="5D418469" w14:textId="69CEA950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Прізвище, ім’я та по батькові, номер телефону особи, яка надає додаткову інформацію з питань </w:t>
            </w:r>
            <w:r>
              <w:rPr>
                <w:rFonts w:ascii="Times New Roman" w:hAnsi="Times New Roman" w:cs="Times New Roman"/>
              </w:rPr>
              <w:t>призначення на посаду</w:t>
            </w:r>
          </w:p>
        </w:tc>
        <w:tc>
          <w:tcPr>
            <w:tcW w:w="6310" w:type="dxa"/>
          </w:tcPr>
          <w:p w14:paraId="052A946A" w14:textId="496CFB56" w:rsidR="00A07621" w:rsidRPr="00A07621" w:rsidRDefault="00691DD7" w:rsidP="00A07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Данілова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Світлана Миколаївна</w:t>
            </w:r>
          </w:p>
          <w:p w14:paraId="4D8C5902" w14:textId="77777777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  <w:p w14:paraId="3581A15D" w14:textId="45ECC3F7" w:rsidR="00A07621" w:rsidRPr="00691DD7" w:rsidRDefault="00691DD7" w:rsidP="00A07621">
            <w:pPr>
              <w:rPr>
                <w:rFonts w:ascii="Times New Roman" w:hAnsi="Times New Roman" w:cs="Times New Roman"/>
              </w:rPr>
            </w:pPr>
            <w:r w:rsidRPr="00691DD7">
              <w:rPr>
                <w:rFonts w:ascii="Times New Roman" w:hAnsi="Times New Roman" w:cs="Times New Roman"/>
              </w:rPr>
              <w:t>(063) 593-02-48</w:t>
            </w:r>
          </w:p>
        </w:tc>
      </w:tr>
      <w:tr w:rsidR="00A07621" w:rsidRPr="00782232" w14:paraId="25378CC9" w14:textId="77777777" w:rsidTr="001330BA">
        <w:tc>
          <w:tcPr>
            <w:tcW w:w="9640" w:type="dxa"/>
            <w:gridSpan w:val="3"/>
          </w:tcPr>
          <w:p w14:paraId="403DFD9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A07621" w:rsidRPr="00782232" w14:paraId="0C400317" w14:textId="77777777" w:rsidTr="001330BA">
        <w:tc>
          <w:tcPr>
            <w:tcW w:w="675" w:type="dxa"/>
          </w:tcPr>
          <w:p w14:paraId="5F20D48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09874E1D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6310" w:type="dxa"/>
          </w:tcPr>
          <w:p w14:paraId="26CC720C" w14:textId="217F22FD" w:rsidR="00A07621" w:rsidRPr="00900BCD" w:rsidRDefault="00A07621" w:rsidP="00A07621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  <w:r w:rsidRPr="00900BCD">
              <w:rPr>
                <w:rFonts w:ascii="Times New Roman" w:eastAsiaTheme="minorHAnsi" w:hAnsi="Times New Roman" w:cs="Times New Roman"/>
                <w:lang w:eastAsia="en-US"/>
              </w:rPr>
              <w:t xml:space="preserve">вища освіта не нижче ступеня </w:t>
            </w:r>
            <w:r w:rsidR="006E471D">
              <w:rPr>
                <w:rFonts w:ascii="Times New Roman" w:hAnsi="Times New Roman" w:cs="Times New Roman"/>
                <w:shd w:val="clear" w:color="auto" w:fill="FFFFFF"/>
              </w:rPr>
              <w:t>бакалавра, молодшого бакалавра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A07621" w:rsidRPr="00782232" w14:paraId="4712D3D6" w14:textId="77777777" w:rsidTr="001330BA">
        <w:tc>
          <w:tcPr>
            <w:tcW w:w="675" w:type="dxa"/>
          </w:tcPr>
          <w:p w14:paraId="0EC33CD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7301890C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Досвід роботи </w:t>
            </w:r>
          </w:p>
        </w:tc>
        <w:tc>
          <w:tcPr>
            <w:tcW w:w="6310" w:type="dxa"/>
          </w:tcPr>
          <w:p w14:paraId="1CF3911D" w14:textId="03D97999" w:rsidR="00A07621" w:rsidRPr="00900BCD" w:rsidRDefault="006E471D" w:rsidP="00A07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 потребує</w:t>
            </w:r>
          </w:p>
        </w:tc>
      </w:tr>
      <w:tr w:rsidR="00A07621" w:rsidRPr="00782232" w14:paraId="2B9B014A" w14:textId="77777777" w:rsidTr="001330BA">
        <w:trPr>
          <w:trHeight w:val="583"/>
        </w:trPr>
        <w:tc>
          <w:tcPr>
            <w:tcW w:w="675" w:type="dxa"/>
          </w:tcPr>
          <w:p w14:paraId="38558B77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44D41C1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Володіння державною </w:t>
            </w:r>
          </w:p>
          <w:p w14:paraId="18465940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мовою</w:t>
            </w:r>
          </w:p>
        </w:tc>
        <w:tc>
          <w:tcPr>
            <w:tcW w:w="6310" w:type="dxa"/>
          </w:tcPr>
          <w:p w14:paraId="5DDABD3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A07621" w:rsidRPr="00782232" w14:paraId="2DE00316" w14:textId="77777777" w:rsidTr="001330BA">
        <w:tc>
          <w:tcPr>
            <w:tcW w:w="9640" w:type="dxa"/>
            <w:gridSpan w:val="3"/>
            <w:vAlign w:val="center"/>
          </w:tcPr>
          <w:p w14:paraId="748D40D5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Вимоги до компетентності</w:t>
            </w:r>
          </w:p>
          <w:p w14:paraId="69FD1A1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07621" w:rsidRPr="00782232" w14:paraId="788CD8DA" w14:textId="77777777" w:rsidTr="001330BA">
        <w:tc>
          <w:tcPr>
            <w:tcW w:w="675" w:type="dxa"/>
          </w:tcPr>
          <w:p w14:paraId="05E32515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612520B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  <w:p w14:paraId="37E271C6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310" w:type="dxa"/>
          </w:tcPr>
          <w:p w14:paraId="0533837D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  <w:p w14:paraId="2447FB9F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AE1A7D" w:rsidRPr="00782232" w14:paraId="038205E3" w14:textId="77777777" w:rsidTr="001330BA">
        <w:tc>
          <w:tcPr>
            <w:tcW w:w="675" w:type="dxa"/>
          </w:tcPr>
          <w:p w14:paraId="4E681815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234C3079" w14:textId="714457C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Багатозадачність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6CC416C5" w14:textId="386F7FD6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концентрувати (не</w:t>
            </w:r>
            <w:r w:rsidR="00984A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втрачати) увагу на виконанні завдання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539896D3" w14:textId="515AD7D4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розкладати завдання на процеси, спрощувати їх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6A44E68D" w14:textId="0E8C5E39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швидко змінювати напрям роботи (діяльності)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2EC62B90" w14:textId="013D7BF2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управляти результатом і бачити прогрес</w:t>
            </w:r>
            <w:r w:rsid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03C698D9" w14:textId="77777777" w:rsidTr="001330BA">
        <w:tc>
          <w:tcPr>
            <w:tcW w:w="675" w:type="dxa"/>
          </w:tcPr>
          <w:p w14:paraId="2E288F63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5118C19" w14:textId="20CFC3A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Якісне виконання поставлених завдань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208AD37F" w14:textId="1A578AE8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чітке і точне формулювання мети, цілей і завдань службової діяльності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0D5AA862" w14:textId="4D20735C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комплексний підхід до виконання завдань, виявлення ризиків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74A1F1CF" w14:textId="73D79007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AE1A7D" w:rsidRP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260CD47F" w14:textId="77777777" w:rsidTr="009E3AAB">
        <w:trPr>
          <w:trHeight w:val="1281"/>
        </w:trPr>
        <w:tc>
          <w:tcPr>
            <w:tcW w:w="675" w:type="dxa"/>
          </w:tcPr>
          <w:p w14:paraId="74E2800A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5" w:type="dxa"/>
          </w:tcPr>
          <w:p w14:paraId="3056FD37" w14:textId="7763B9C0" w:rsidR="00AE1A7D" w:rsidRPr="00AE1A7D" w:rsidRDefault="001179F2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Самоорганізація та самостійність в роботі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56B2F3E1" w14:textId="5A934760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44FB26A3" w14:textId="6E9218B9" w:rsidR="009E3AAB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здатність до </w:t>
            </w:r>
            <w:proofErr w:type="spellStart"/>
            <w:r>
              <w:rPr>
                <w:rFonts w:ascii="Times New Roman" w:hAnsi="Times New Roman" w:cs="Times New Roman"/>
              </w:rPr>
              <w:t>самомотивації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(самоуправління)</w:t>
            </w:r>
            <w:r w:rsidR="009E3AAB">
              <w:rPr>
                <w:rFonts w:ascii="Times New Roman" w:hAnsi="Times New Roman" w:cs="Times New Roman"/>
              </w:rPr>
              <w:t>;</w:t>
            </w:r>
          </w:p>
          <w:p w14:paraId="31B273AF" w14:textId="43FF8E28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вміння самостійно приймати рішення і виконувати завдання у процесі професійної діяльності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3955596F" w14:textId="77777777" w:rsidTr="001330BA">
        <w:trPr>
          <w:trHeight w:val="1956"/>
        </w:trPr>
        <w:tc>
          <w:tcPr>
            <w:tcW w:w="675" w:type="dxa"/>
          </w:tcPr>
          <w:p w14:paraId="32B29BFD" w14:textId="40DB0199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5" w:type="dxa"/>
          </w:tcPr>
          <w:p w14:paraId="09170AA9" w14:textId="3B66CAA0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 xml:space="preserve">Відповідальність </w:t>
            </w:r>
          </w:p>
        </w:tc>
        <w:tc>
          <w:tcPr>
            <w:tcW w:w="6310" w:type="dxa"/>
          </w:tcPr>
          <w:p w14:paraId="71782BB2" w14:textId="77777777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2A31481F" w14:textId="7241FF93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400AF63" w14:textId="69978414" w:rsidR="00AA799B" w:rsidRPr="00AA799B" w:rsidRDefault="00AA799B" w:rsidP="00656FBE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здатність брати на себе зобов’язання, чітко їх дотримуватись і виконувати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1B91D3FE" w14:textId="77777777" w:rsidTr="001330BA">
        <w:tc>
          <w:tcPr>
            <w:tcW w:w="9640" w:type="dxa"/>
            <w:gridSpan w:val="3"/>
          </w:tcPr>
          <w:p w14:paraId="5540DE08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492C734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14:paraId="7DF0D7C0" w14:textId="77777777" w:rsidR="00AA799B" w:rsidRPr="00782232" w:rsidRDefault="00AA799B" w:rsidP="00AA799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A799B" w:rsidRPr="00782232" w14:paraId="1662EB2B" w14:textId="77777777" w:rsidTr="001330BA">
        <w:trPr>
          <w:trHeight w:val="303"/>
        </w:trPr>
        <w:tc>
          <w:tcPr>
            <w:tcW w:w="675" w:type="dxa"/>
          </w:tcPr>
          <w:p w14:paraId="447E78D6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2EE811C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2DBE111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14:paraId="58563778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</w:tc>
        <w:tc>
          <w:tcPr>
            <w:tcW w:w="6310" w:type="dxa"/>
          </w:tcPr>
          <w:p w14:paraId="7E9ADED1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</w:tc>
      </w:tr>
      <w:tr w:rsidR="00AA799B" w:rsidRPr="00782232" w14:paraId="5DF6EA55" w14:textId="77777777" w:rsidTr="00656FBE">
        <w:trPr>
          <w:trHeight w:val="1511"/>
        </w:trPr>
        <w:tc>
          <w:tcPr>
            <w:tcW w:w="675" w:type="dxa"/>
          </w:tcPr>
          <w:p w14:paraId="6BE4922E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3AC8EC71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Знання законодавства</w:t>
            </w:r>
          </w:p>
        </w:tc>
        <w:tc>
          <w:tcPr>
            <w:tcW w:w="6310" w:type="dxa"/>
          </w:tcPr>
          <w:p w14:paraId="49237D19" w14:textId="77777777" w:rsidR="00AA799B" w:rsidRPr="00900BCD" w:rsidRDefault="00AA799B" w:rsidP="00AA799B">
            <w:pPr>
              <w:rPr>
                <w:rFonts w:ascii="Times New Roman" w:hAnsi="Times New Roman" w:cs="Times New Roman"/>
                <w:u w:val="single"/>
              </w:rPr>
            </w:pPr>
            <w:r w:rsidRPr="00900BCD">
              <w:rPr>
                <w:rFonts w:ascii="Times New Roman" w:hAnsi="Times New Roman" w:cs="Times New Roman"/>
                <w:u w:val="single"/>
              </w:rPr>
              <w:t>Знання:</w:t>
            </w:r>
          </w:p>
          <w:p w14:paraId="7182FDF2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49553343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649C5F0A" w14:textId="3C26CA4C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</w:tc>
      </w:tr>
      <w:tr w:rsidR="00AA799B" w:rsidRPr="00782232" w14:paraId="33CF2078" w14:textId="77777777" w:rsidTr="006E471D">
        <w:trPr>
          <w:trHeight w:val="289"/>
        </w:trPr>
        <w:tc>
          <w:tcPr>
            <w:tcW w:w="675" w:type="dxa"/>
          </w:tcPr>
          <w:p w14:paraId="6488A7B4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99682A6" w14:textId="77777777" w:rsidR="00AA799B" w:rsidRPr="00782232" w:rsidRDefault="00AA799B" w:rsidP="00AA799B">
            <w:pPr>
              <w:rPr>
                <w:rFonts w:ascii="Times New Roman" w:hAnsi="Times New Roman" w:cs="Times New Roman"/>
                <w:bCs/>
              </w:rPr>
            </w:pPr>
            <w:r w:rsidRPr="00782232">
              <w:rPr>
                <w:rFonts w:ascii="Times New Roman" w:hAnsi="Times New Roman" w:cs="Times New Roman"/>
                <w:bCs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736613AE" w14:textId="77777777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  <w:u w:val="single"/>
              </w:rPr>
              <w:t>Знання</w:t>
            </w:r>
            <w:r w:rsidRPr="00AE1A7D">
              <w:rPr>
                <w:rFonts w:ascii="Times New Roman" w:hAnsi="Times New Roman" w:cs="Times New Roman"/>
              </w:rPr>
              <w:t>:</w:t>
            </w:r>
          </w:p>
          <w:p w14:paraId="2E0DDE8B" w14:textId="3797742F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Закону України «Про прокуратуру»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756CA4" w14:textId="523E38F0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="007C0A57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 xml:space="preserve">, </w:t>
            </w:r>
            <w:r w:rsidRPr="00AE1A7D">
              <w:rPr>
                <w:rFonts w:ascii="Times New Roman" w:hAnsi="Times New Roman" w:cs="Times New Roman"/>
              </w:rPr>
              <w:t>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</w:t>
            </w:r>
            <w:r w:rsidR="007C0A57">
              <w:rPr>
                <w:rFonts w:ascii="Times New Roman" w:hAnsi="Times New Roman" w:cs="Times New Roman"/>
              </w:rPr>
              <w:t>ого</w:t>
            </w:r>
            <w:r w:rsidR="009E3AAB">
              <w:rPr>
                <w:rFonts w:ascii="Times New Roman" w:hAnsi="Times New Roman" w:cs="Times New Roman"/>
              </w:rPr>
              <w:t xml:space="preserve"> прокур</w:t>
            </w:r>
            <w:r w:rsidR="007C0A57">
              <w:rPr>
                <w:rFonts w:ascii="Times New Roman" w:hAnsi="Times New Roman" w:cs="Times New Roman"/>
              </w:rPr>
              <w:t xml:space="preserve">ора </w:t>
            </w:r>
            <w:r w:rsidRPr="00AE1A7D">
              <w:rPr>
                <w:rFonts w:ascii="Times New Roman" w:hAnsi="Times New Roman" w:cs="Times New Roman"/>
              </w:rPr>
              <w:t xml:space="preserve">від </w:t>
            </w:r>
            <w:r w:rsidR="007C0A57">
              <w:rPr>
                <w:rFonts w:ascii="Times New Roman" w:hAnsi="Times New Roman" w:cs="Times New Roman"/>
              </w:rPr>
              <w:t>27</w:t>
            </w:r>
            <w:r w:rsidRPr="00AE1A7D">
              <w:rPr>
                <w:rFonts w:ascii="Times New Roman" w:hAnsi="Times New Roman" w:cs="Times New Roman"/>
              </w:rPr>
              <w:t>.</w:t>
            </w:r>
            <w:r w:rsidR="007C0A57">
              <w:rPr>
                <w:rFonts w:ascii="Times New Roman" w:hAnsi="Times New Roman" w:cs="Times New Roman"/>
              </w:rPr>
              <w:t>09</w:t>
            </w:r>
            <w:r w:rsidRPr="00AE1A7D">
              <w:rPr>
                <w:rFonts w:ascii="Times New Roman" w:hAnsi="Times New Roman" w:cs="Times New Roman"/>
              </w:rPr>
              <w:t>.20</w:t>
            </w:r>
            <w:r w:rsidR="007C0A57">
              <w:rPr>
                <w:rFonts w:ascii="Times New Roman" w:hAnsi="Times New Roman" w:cs="Times New Roman"/>
              </w:rPr>
              <w:t>22</w:t>
            </w:r>
            <w:r w:rsidRPr="00AE1A7D">
              <w:rPr>
                <w:rFonts w:ascii="Times New Roman" w:hAnsi="Times New Roman" w:cs="Times New Roman"/>
              </w:rPr>
              <w:t xml:space="preserve"> № </w:t>
            </w:r>
            <w:r w:rsidR="007C0A57">
              <w:rPr>
                <w:rFonts w:ascii="Times New Roman" w:hAnsi="Times New Roman" w:cs="Times New Roman"/>
              </w:rPr>
              <w:t>19</w:t>
            </w:r>
            <w:r w:rsidRPr="00AE1A7D">
              <w:rPr>
                <w:rFonts w:ascii="Times New Roman" w:hAnsi="Times New Roman" w:cs="Times New Roman"/>
              </w:rPr>
              <w:t>9;</w:t>
            </w:r>
          </w:p>
          <w:p w14:paraId="2E0C9579" w14:textId="71F4F9D9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Тимчасової інструкції з діловодства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енеральної прокуратури України</w:t>
            </w:r>
            <w:r w:rsidRPr="00AE1A7D">
              <w:rPr>
                <w:rFonts w:ascii="Times New Roman" w:hAnsi="Times New Roman" w:cs="Times New Roman"/>
              </w:rPr>
              <w:t xml:space="preserve"> від 12.02.2019 № 27</w:t>
            </w:r>
            <w:r w:rsidR="009E3AAB">
              <w:rPr>
                <w:rFonts w:ascii="Times New Roman" w:hAnsi="Times New Roman" w:cs="Times New Roman"/>
              </w:rPr>
              <w:t xml:space="preserve"> (зі змінами</w:t>
            </w:r>
            <w:r w:rsidRPr="00AE1A7D">
              <w:rPr>
                <w:rFonts w:ascii="Times New Roman" w:hAnsi="Times New Roman" w:cs="Times New Roman"/>
              </w:rPr>
              <w:t>)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701245" w:rsidRPr="00782232" w14:paraId="3C8C346C" w14:textId="77777777" w:rsidTr="006E471D">
        <w:trPr>
          <w:trHeight w:val="289"/>
        </w:trPr>
        <w:tc>
          <w:tcPr>
            <w:tcW w:w="675" w:type="dxa"/>
          </w:tcPr>
          <w:p w14:paraId="6BAE62F5" w14:textId="1C148775" w:rsidR="00701245" w:rsidRPr="00782232" w:rsidRDefault="00701245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1C1753E8" w14:textId="16F986EA" w:rsidR="00701245" w:rsidRPr="00782232" w:rsidRDefault="00701245" w:rsidP="00AA79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45FAAB58" w14:textId="7AA5834D" w:rsidR="00701245" w:rsidRPr="00701245" w:rsidRDefault="00701245" w:rsidP="00701245">
            <w:pPr>
              <w:jc w:val="both"/>
              <w:rPr>
                <w:rFonts w:ascii="Times New Roman" w:hAnsi="Times New Roman" w:cs="Times New Roman"/>
              </w:rPr>
            </w:pPr>
            <w:r w:rsidRPr="00701245">
              <w:rPr>
                <w:rFonts w:ascii="Times New Roman" w:hAnsi="Times New Roman" w:cs="Times New Roman"/>
              </w:rPr>
              <w:t xml:space="preserve">Знання особливостей роботи </w:t>
            </w:r>
            <w:r>
              <w:rPr>
                <w:rFonts w:ascii="Times New Roman" w:hAnsi="Times New Roman" w:cs="Times New Roman"/>
              </w:rPr>
              <w:t xml:space="preserve">з документами </w:t>
            </w:r>
            <w:r w:rsidR="00FA6AD1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>в інформаційних системах електронного документообігу.</w:t>
            </w:r>
          </w:p>
        </w:tc>
      </w:tr>
    </w:tbl>
    <w:p w14:paraId="11AF1DDC" w14:textId="77777777" w:rsidR="00AA41B3" w:rsidRPr="00782232" w:rsidRDefault="00AA41B3" w:rsidP="001330BA">
      <w:pPr>
        <w:rPr>
          <w:rFonts w:ascii="Times New Roman" w:hAnsi="Times New Roman" w:cs="Times New Roman"/>
          <w:sz w:val="6"/>
          <w:szCs w:val="6"/>
        </w:rPr>
      </w:pPr>
    </w:p>
    <w:p w14:paraId="06192D95" w14:textId="77777777" w:rsidR="004E7ABD" w:rsidRPr="00782232" w:rsidRDefault="004E7ABD" w:rsidP="001330BA">
      <w:pPr>
        <w:rPr>
          <w:rFonts w:ascii="Times New Roman" w:hAnsi="Times New Roman" w:cs="Times New Roman"/>
          <w:sz w:val="6"/>
          <w:szCs w:val="6"/>
        </w:rPr>
      </w:pPr>
    </w:p>
    <w:p w14:paraId="0EF66A80" w14:textId="08DC9F90" w:rsidR="00E85A23" w:rsidRDefault="00E85A23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2E212CF" w14:textId="77777777" w:rsidR="00656FBE" w:rsidRDefault="00656FBE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E605AE9" w14:textId="77777777" w:rsidR="00150777" w:rsidRPr="001330BA" w:rsidRDefault="00150777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7B9A7BC4" w14:textId="08A102BA" w:rsidR="00104190" w:rsidRPr="00C76DF3" w:rsidRDefault="00104190" w:rsidP="00C76DF3">
      <w:pPr>
        <w:widowControl/>
        <w:tabs>
          <w:tab w:val="left" w:pos="7655"/>
        </w:tabs>
        <w:jc w:val="both"/>
        <w:rPr>
          <w:rFonts w:ascii="Times New Roman" w:hAnsi="Times New Roman" w:cs="Times New Roman"/>
          <w:b/>
        </w:rPr>
      </w:pPr>
    </w:p>
    <w:sectPr w:rsidR="00104190" w:rsidRPr="00C76DF3" w:rsidSect="00EB0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71EB" w14:textId="77777777" w:rsidR="0087550B" w:rsidRDefault="0087550B" w:rsidP="0076449E">
      <w:r>
        <w:separator/>
      </w:r>
    </w:p>
  </w:endnote>
  <w:endnote w:type="continuationSeparator" w:id="0">
    <w:p w14:paraId="7716AF1A" w14:textId="77777777" w:rsidR="0087550B" w:rsidRDefault="0087550B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BF0A" w14:textId="77777777" w:rsidR="0076449E" w:rsidRDefault="007644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847" w14:textId="77777777" w:rsidR="0076449E" w:rsidRDefault="007644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A4ED" w14:textId="77777777" w:rsidR="0076449E" w:rsidRDefault="007644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908B" w14:textId="77777777" w:rsidR="0087550B" w:rsidRDefault="0087550B" w:rsidP="0076449E">
      <w:r>
        <w:separator/>
      </w:r>
    </w:p>
  </w:footnote>
  <w:footnote w:type="continuationSeparator" w:id="0">
    <w:p w14:paraId="67331D2B" w14:textId="77777777" w:rsidR="0087550B" w:rsidRDefault="0087550B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7833" w14:textId="77777777" w:rsidR="0076449E" w:rsidRDefault="007644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CCFCC9" w14:textId="77777777" w:rsidR="0076449E" w:rsidRPr="0076449E" w:rsidRDefault="0076449E">
        <w:pPr>
          <w:pStyle w:val="aa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C1290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270AA0A9" w14:textId="77777777" w:rsidR="0076449E" w:rsidRDefault="007644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A513" w14:textId="77777777" w:rsidR="0076449E" w:rsidRDefault="007644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4B4"/>
    <w:multiLevelType w:val="hybridMultilevel"/>
    <w:tmpl w:val="2562958A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7C7A"/>
    <w:multiLevelType w:val="hybridMultilevel"/>
    <w:tmpl w:val="3142087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C17F4"/>
    <w:multiLevelType w:val="hybridMultilevel"/>
    <w:tmpl w:val="42367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5409E"/>
    <w:multiLevelType w:val="hybridMultilevel"/>
    <w:tmpl w:val="9B244A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0E432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A02EDC"/>
    <w:multiLevelType w:val="hybridMultilevel"/>
    <w:tmpl w:val="F2649AA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C86"/>
    <w:multiLevelType w:val="hybridMultilevel"/>
    <w:tmpl w:val="4ECC784A"/>
    <w:lvl w:ilvl="0" w:tplc="36EE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69B4"/>
    <w:multiLevelType w:val="hybridMultilevel"/>
    <w:tmpl w:val="FC3636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 w15:restartNumberingAfterBreak="0">
    <w:nsid w:val="54CA14BC"/>
    <w:multiLevelType w:val="hybridMultilevel"/>
    <w:tmpl w:val="6162753A"/>
    <w:lvl w:ilvl="0" w:tplc="2E88A70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A2529"/>
    <w:multiLevelType w:val="hybridMultilevel"/>
    <w:tmpl w:val="B9C40B6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642404AA"/>
    <w:multiLevelType w:val="hybridMultilevel"/>
    <w:tmpl w:val="E34A4A6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979"/>
    <w:multiLevelType w:val="hybridMultilevel"/>
    <w:tmpl w:val="A4A871D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D0DDA"/>
    <w:multiLevelType w:val="hybridMultilevel"/>
    <w:tmpl w:val="49D86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3BB3"/>
    <w:multiLevelType w:val="hybridMultilevel"/>
    <w:tmpl w:val="22208318"/>
    <w:lvl w:ilvl="0" w:tplc="723AB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1"/>
  </w:num>
  <w:num w:numId="5">
    <w:abstractNumId w:val="18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0"/>
  </w:num>
  <w:num w:numId="15">
    <w:abstractNumId w:val="20"/>
  </w:num>
  <w:num w:numId="16">
    <w:abstractNumId w:val="16"/>
  </w:num>
  <w:num w:numId="17">
    <w:abstractNumId w:val="3"/>
  </w:num>
  <w:num w:numId="18">
    <w:abstractNumId w:val="9"/>
  </w:num>
  <w:num w:numId="19">
    <w:abstractNumId w:val="1"/>
  </w:num>
  <w:num w:numId="20">
    <w:abstractNumId w:val="14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90"/>
    <w:rsid w:val="00007A55"/>
    <w:rsid w:val="000142DB"/>
    <w:rsid w:val="000217C0"/>
    <w:rsid w:val="000302B4"/>
    <w:rsid w:val="00077E3F"/>
    <w:rsid w:val="00096280"/>
    <w:rsid w:val="000B1812"/>
    <w:rsid w:val="000B19C4"/>
    <w:rsid w:val="000B7720"/>
    <w:rsid w:val="000C0087"/>
    <w:rsid w:val="000C4165"/>
    <w:rsid w:val="000F6718"/>
    <w:rsid w:val="00104190"/>
    <w:rsid w:val="001179F2"/>
    <w:rsid w:val="001330BA"/>
    <w:rsid w:val="00137C68"/>
    <w:rsid w:val="00142D49"/>
    <w:rsid w:val="00150777"/>
    <w:rsid w:val="001523E6"/>
    <w:rsid w:val="00156DEB"/>
    <w:rsid w:val="001869CF"/>
    <w:rsid w:val="001B141C"/>
    <w:rsid w:val="001C0A4A"/>
    <w:rsid w:val="001D766C"/>
    <w:rsid w:val="001F3ADA"/>
    <w:rsid w:val="002127C4"/>
    <w:rsid w:val="00281576"/>
    <w:rsid w:val="00294F1A"/>
    <w:rsid w:val="002F1654"/>
    <w:rsid w:val="003370FC"/>
    <w:rsid w:val="00351CCE"/>
    <w:rsid w:val="003556DC"/>
    <w:rsid w:val="00356E4B"/>
    <w:rsid w:val="00390DDC"/>
    <w:rsid w:val="003968CF"/>
    <w:rsid w:val="003B61CC"/>
    <w:rsid w:val="003D0E00"/>
    <w:rsid w:val="003F3CA6"/>
    <w:rsid w:val="003F6054"/>
    <w:rsid w:val="00400FBA"/>
    <w:rsid w:val="00415B22"/>
    <w:rsid w:val="004579FA"/>
    <w:rsid w:val="00463479"/>
    <w:rsid w:val="004650EC"/>
    <w:rsid w:val="004D0653"/>
    <w:rsid w:val="004D1607"/>
    <w:rsid w:val="004E7ABD"/>
    <w:rsid w:val="004F5E79"/>
    <w:rsid w:val="00516282"/>
    <w:rsid w:val="00592B14"/>
    <w:rsid w:val="005C2E78"/>
    <w:rsid w:val="005D65CA"/>
    <w:rsid w:val="006033FD"/>
    <w:rsid w:val="00614666"/>
    <w:rsid w:val="00622419"/>
    <w:rsid w:val="0062491C"/>
    <w:rsid w:val="006440E9"/>
    <w:rsid w:val="0065429E"/>
    <w:rsid w:val="00656FBE"/>
    <w:rsid w:val="00664B95"/>
    <w:rsid w:val="00667254"/>
    <w:rsid w:val="006802CD"/>
    <w:rsid w:val="00686B11"/>
    <w:rsid w:val="00691DD7"/>
    <w:rsid w:val="006A4B55"/>
    <w:rsid w:val="006A6A31"/>
    <w:rsid w:val="006C4F5B"/>
    <w:rsid w:val="006D6A9D"/>
    <w:rsid w:val="006D7D37"/>
    <w:rsid w:val="006E471D"/>
    <w:rsid w:val="00701245"/>
    <w:rsid w:val="00726E78"/>
    <w:rsid w:val="0076270F"/>
    <w:rsid w:val="0076449E"/>
    <w:rsid w:val="0076454A"/>
    <w:rsid w:val="00776AAE"/>
    <w:rsid w:val="00782232"/>
    <w:rsid w:val="007831F8"/>
    <w:rsid w:val="007A30A6"/>
    <w:rsid w:val="007A6E01"/>
    <w:rsid w:val="007A7B22"/>
    <w:rsid w:val="007B12AB"/>
    <w:rsid w:val="007C0A57"/>
    <w:rsid w:val="007D218E"/>
    <w:rsid w:val="007E7050"/>
    <w:rsid w:val="007F09FE"/>
    <w:rsid w:val="00807392"/>
    <w:rsid w:val="00814879"/>
    <w:rsid w:val="008249B5"/>
    <w:rsid w:val="00824C6D"/>
    <w:rsid w:val="00861296"/>
    <w:rsid w:val="00861E94"/>
    <w:rsid w:val="0087550B"/>
    <w:rsid w:val="008A0A14"/>
    <w:rsid w:val="008C11D3"/>
    <w:rsid w:val="008C4B69"/>
    <w:rsid w:val="008D1A35"/>
    <w:rsid w:val="008F0D78"/>
    <w:rsid w:val="00900BCD"/>
    <w:rsid w:val="0090233C"/>
    <w:rsid w:val="009023B9"/>
    <w:rsid w:val="00903726"/>
    <w:rsid w:val="0091278B"/>
    <w:rsid w:val="00920D4A"/>
    <w:rsid w:val="00927189"/>
    <w:rsid w:val="00947622"/>
    <w:rsid w:val="00964FC2"/>
    <w:rsid w:val="00984A13"/>
    <w:rsid w:val="009C5B92"/>
    <w:rsid w:val="009D6E6C"/>
    <w:rsid w:val="009E3AAB"/>
    <w:rsid w:val="00A018E8"/>
    <w:rsid w:val="00A02DA7"/>
    <w:rsid w:val="00A07621"/>
    <w:rsid w:val="00A22761"/>
    <w:rsid w:val="00A30157"/>
    <w:rsid w:val="00A400A9"/>
    <w:rsid w:val="00A5490B"/>
    <w:rsid w:val="00A72847"/>
    <w:rsid w:val="00A942A2"/>
    <w:rsid w:val="00A944AC"/>
    <w:rsid w:val="00AA26EE"/>
    <w:rsid w:val="00AA41B3"/>
    <w:rsid w:val="00AA51DF"/>
    <w:rsid w:val="00AA6800"/>
    <w:rsid w:val="00AA799B"/>
    <w:rsid w:val="00AC4E75"/>
    <w:rsid w:val="00AD2AC8"/>
    <w:rsid w:val="00AE1A7D"/>
    <w:rsid w:val="00AF2CC7"/>
    <w:rsid w:val="00B11A3D"/>
    <w:rsid w:val="00B22E03"/>
    <w:rsid w:val="00B46143"/>
    <w:rsid w:val="00B46564"/>
    <w:rsid w:val="00B665B2"/>
    <w:rsid w:val="00BB5774"/>
    <w:rsid w:val="00BD7391"/>
    <w:rsid w:val="00BE1839"/>
    <w:rsid w:val="00C04C5D"/>
    <w:rsid w:val="00C07E8C"/>
    <w:rsid w:val="00C10BC5"/>
    <w:rsid w:val="00C12903"/>
    <w:rsid w:val="00C13D65"/>
    <w:rsid w:val="00C16F4D"/>
    <w:rsid w:val="00C21EC4"/>
    <w:rsid w:val="00C24A48"/>
    <w:rsid w:val="00C41F0D"/>
    <w:rsid w:val="00C57DFC"/>
    <w:rsid w:val="00C6344F"/>
    <w:rsid w:val="00C65EFF"/>
    <w:rsid w:val="00C76DF3"/>
    <w:rsid w:val="00CD5700"/>
    <w:rsid w:val="00CD5DD0"/>
    <w:rsid w:val="00CD60A9"/>
    <w:rsid w:val="00D24B86"/>
    <w:rsid w:val="00D371EC"/>
    <w:rsid w:val="00D62F7F"/>
    <w:rsid w:val="00D80DF6"/>
    <w:rsid w:val="00D82762"/>
    <w:rsid w:val="00D84487"/>
    <w:rsid w:val="00DA11A4"/>
    <w:rsid w:val="00E04989"/>
    <w:rsid w:val="00E36317"/>
    <w:rsid w:val="00E40685"/>
    <w:rsid w:val="00E63C8D"/>
    <w:rsid w:val="00E74326"/>
    <w:rsid w:val="00E85A23"/>
    <w:rsid w:val="00EA3249"/>
    <w:rsid w:val="00EB0556"/>
    <w:rsid w:val="00EC33D2"/>
    <w:rsid w:val="00F07560"/>
    <w:rsid w:val="00F1305F"/>
    <w:rsid w:val="00F85A50"/>
    <w:rsid w:val="00F9787F"/>
    <w:rsid w:val="00FA6AD1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B3D"/>
  <w15:chartTrackingRefBased/>
  <w15:docId w15:val="{47F21172-B46B-415E-840C-CEB55A3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7A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7822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10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Інше_"/>
    <w:basedOn w:val="a0"/>
    <w:link w:val="a5"/>
    <w:rsid w:val="00104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104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04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90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customStyle="1" w:styleId="rvts44">
    <w:name w:val="rvts44"/>
    <w:uiPriority w:val="99"/>
    <w:rsid w:val="00824C6D"/>
  </w:style>
  <w:style w:type="paragraph" w:styleId="aa">
    <w:name w:val="header"/>
    <w:basedOn w:val="a"/>
    <w:link w:val="ab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rvps14">
    <w:name w:val="rvps14"/>
    <w:basedOn w:val="a"/>
    <w:rsid w:val="00AA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2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782232"/>
    <w:rPr>
      <w:color w:val="0000FF"/>
      <w:u w:val="single"/>
    </w:rPr>
  </w:style>
  <w:style w:type="paragraph" w:customStyle="1" w:styleId="rvps2">
    <w:name w:val="rvps2"/>
    <w:basedOn w:val="a"/>
    <w:rsid w:val="00F13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 Spacing"/>
    <w:uiPriority w:val="1"/>
    <w:qFormat/>
    <w:rsid w:val="00BB57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styleId="af0">
    <w:name w:val="Unresolved Mention"/>
    <w:basedOn w:val="a0"/>
    <w:uiPriority w:val="99"/>
    <w:semiHidden/>
    <w:unhideWhenUsed/>
    <w:rsid w:val="00A0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kokrug@myk.gp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Олена Константинівна</dc:creator>
  <cp:keywords/>
  <dc:description/>
  <cp:lastModifiedBy>Usermop</cp:lastModifiedBy>
  <cp:revision>4</cp:revision>
  <cp:lastPrinted>2024-05-10T07:10:00Z</cp:lastPrinted>
  <dcterms:created xsi:type="dcterms:W3CDTF">2025-06-24T14:38:00Z</dcterms:created>
  <dcterms:modified xsi:type="dcterms:W3CDTF">2025-06-25T04:50:00Z</dcterms:modified>
</cp:coreProperties>
</file>