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</w:rPr>
        <w:t xml:space="preserve">ОБГРУНТУВАННЯ </w:t>
      </w:r>
    </w:p>
    <w:p w14:paraId="545FF52F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  <w:color w:val="333333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6034D8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  <w:r w:rsidRPr="001A7DD0"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14:paraId="50D81A96" w14:textId="77777777" w:rsidR="00D46348" w:rsidRPr="001A7DD0" w:rsidRDefault="00D46348" w:rsidP="001A7D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</w:rPr>
      </w:pPr>
    </w:p>
    <w:p w14:paraId="0B2AA30B" w14:textId="77777777" w:rsidR="00CA7694" w:rsidRDefault="00CA7694" w:rsidP="00CA76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14:paraId="0D80C5BC" w14:textId="49F9B1E6" w:rsidR="00D46348" w:rsidRPr="001A7DD0" w:rsidRDefault="00D46348" w:rsidP="00CA769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1A7DD0">
        <w:rPr>
          <w:b/>
          <w:b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1A7DD0">
        <w:rPr>
          <w:color w:val="000000" w:themeColor="text1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155298CA" w14:textId="77777777" w:rsidR="00222322" w:rsidRPr="001A7DD0" w:rsidRDefault="00222322" w:rsidP="00CA7694">
      <w:pPr>
        <w:tabs>
          <w:tab w:val="left" w:pos="0"/>
          <w:tab w:val="num" w:pos="28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CEA96" w14:textId="77777777" w:rsidR="00F225C5" w:rsidRPr="00F225C5" w:rsidRDefault="00D46348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Послуга з ремонту автомобіля, код за ДК 021:2015: 50110000-9 Послуги з ремонту і технічного обслуговування </w:t>
      </w:r>
      <w:proofErr w:type="spellStart"/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мототранспортних</w:t>
      </w:r>
      <w:proofErr w:type="spellEnd"/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засобів і супутнього обладнання </w:t>
      </w:r>
    </w:p>
    <w:p w14:paraId="2E5BB224" w14:textId="5211126E" w:rsidR="00D46348" w:rsidRPr="001A7DD0" w:rsidRDefault="00D46348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Вид процедури:</w:t>
      </w:r>
      <w:r w:rsidRPr="001A7DD0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Pr="001A7DD0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з особливостями. </w:t>
      </w:r>
    </w:p>
    <w:p w14:paraId="0ECDE673" w14:textId="77777777" w:rsidR="00D46348" w:rsidRPr="001A7DD0" w:rsidRDefault="00D46348" w:rsidP="00CA76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FDCE7" w14:textId="14F7CFCE" w:rsidR="0063764F" w:rsidRPr="00CA7694" w:rsidRDefault="00D46348" w:rsidP="00CA76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Ідентифікатор процедури закупівлі:</w:t>
      </w:r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r w:rsidR="00FC6256" w:rsidRPr="00CA7694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UA-2025-04-16-009594-a</w:t>
      </w:r>
    </w:p>
    <w:p w14:paraId="0A32962E" w14:textId="77777777" w:rsidR="00CA7694" w:rsidRDefault="00CA7694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7D197" w14:textId="660C8AB8" w:rsidR="00F225C5" w:rsidRPr="00F225C5" w:rsidRDefault="00D46348" w:rsidP="00CA7694">
      <w:pPr>
        <w:tabs>
          <w:tab w:val="left" w:pos="4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  <w:r w:rsidR="00F225C5" w:rsidRPr="001A7DD0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="00F225C5" w:rsidRPr="001A7DD0">
        <w:rPr>
          <w:rFonts w:ascii="Times New Roman" w:hAnsi="Times New Roman" w:cs="Times New Roman"/>
          <w:sz w:val="24"/>
          <w:szCs w:val="24"/>
        </w:rPr>
        <w:t xml:space="preserve"> </w:t>
      </w:r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Послуга з ремонту автомобіля, код за ДК 021:2015: 50110000-9 Послуги з ремонту і технічного обслуговування </w:t>
      </w:r>
      <w:proofErr w:type="spellStart"/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мототранспортних</w:t>
      </w:r>
      <w:proofErr w:type="spellEnd"/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засобів і супутнього обладнання</w:t>
      </w:r>
      <w:r w:rsid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>.</w:t>
      </w:r>
      <w:r w:rsidR="00F225C5" w:rsidRPr="00F225C5">
        <w:rPr>
          <w:rFonts w:ascii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1A0A56ED" w14:textId="2C163267" w:rsidR="00F225C5" w:rsidRPr="00541F1A" w:rsidRDefault="00D46348" w:rsidP="00CA7694">
      <w:pPr>
        <w:pStyle w:val="a9"/>
        <w:shd w:val="clear" w:color="auto" w:fill="auto"/>
        <w:spacing w:after="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DD0">
        <w:rPr>
          <w:rStyle w:val="h-font-size-1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обумовлене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статистичним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аналізом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послугах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діючими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ринковими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цінами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отриманими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потенційних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постачальників</w:t>
      </w:r>
      <w:proofErr w:type="spellEnd"/>
      <w:r w:rsidR="00F225C5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станом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дату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О</w:t>
      </w:r>
      <w:r w:rsidRPr="001A7DD0">
        <w:rPr>
          <w:rFonts w:ascii="Times New Roman" w:hAnsi="Times New Roman" w:cs="Times New Roman"/>
          <w:color w:val="010101"/>
          <w:sz w:val="24"/>
          <w:szCs w:val="24"/>
        </w:rPr>
        <w:t>чікувана</w:t>
      </w:r>
      <w:proofErr w:type="spellEnd"/>
      <w:r w:rsidRPr="001A7DD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color w:val="010101"/>
          <w:sz w:val="24"/>
          <w:szCs w:val="24"/>
        </w:rPr>
        <w:t>вартість</w:t>
      </w:r>
      <w:proofErr w:type="spellEnd"/>
      <w:r w:rsidRPr="001A7DD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color w:val="010101"/>
          <w:sz w:val="24"/>
          <w:szCs w:val="24"/>
        </w:rPr>
        <w:t>закупівлі</w:t>
      </w:r>
      <w:proofErr w:type="spellEnd"/>
      <w:r w:rsidRPr="001A7DD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1A7DD0">
        <w:rPr>
          <w:rFonts w:ascii="Times New Roman" w:hAnsi="Times New Roman" w:cs="Times New Roman"/>
          <w:sz w:val="24"/>
          <w:szCs w:val="24"/>
        </w:rPr>
        <w:t>підтверджена</w:t>
      </w:r>
      <w:proofErr w:type="spellEnd"/>
      <w:r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дефектн</w:t>
      </w:r>
      <w:r w:rsidR="00F225C5">
        <w:rPr>
          <w:rFonts w:ascii="Times New Roman" w:hAnsi="Times New Roman" w:cs="Times New Roman"/>
          <w:bCs/>
          <w:sz w:val="24"/>
          <w:szCs w:val="24"/>
          <w:lang w:val="uk-UA"/>
        </w:rPr>
        <w:t>им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акт</w:t>
      </w:r>
      <w:r w:rsidR="00F225C5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наданого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рамках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договору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про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="00F225C5" w:rsidRPr="00541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25C5" w:rsidRPr="00541F1A">
        <w:rPr>
          <w:rFonts w:ascii="Times New Roman" w:hAnsi="Times New Roman" w:cs="Times New Roman"/>
          <w:bCs/>
          <w:sz w:val="24"/>
          <w:szCs w:val="24"/>
        </w:rPr>
        <w:t>послуг</w:t>
      </w:r>
      <w:proofErr w:type="spellEnd"/>
      <w:r w:rsidR="00F225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</w:t>
      </w:r>
      <w:proofErr w:type="spellStart"/>
      <w:r w:rsidR="00F225C5" w:rsidRPr="001A7DD0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="00F225C5" w:rsidRPr="001A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5C5" w:rsidRPr="001A7DD0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="00F225C5">
        <w:rPr>
          <w:rFonts w:ascii="Times New Roman" w:hAnsi="Times New Roman" w:cs="Times New Roman"/>
          <w:sz w:val="24"/>
          <w:szCs w:val="24"/>
          <w:lang w:val="uk-UA"/>
        </w:rPr>
        <w:t xml:space="preserve"> автомобілів. </w:t>
      </w:r>
    </w:p>
    <w:p w14:paraId="6E948AA6" w14:textId="77777777" w:rsidR="00D46348" w:rsidRPr="001A7DD0" w:rsidRDefault="00D46348" w:rsidP="00CA7694">
      <w:pPr>
        <w:tabs>
          <w:tab w:val="left" w:pos="426"/>
        </w:tabs>
        <w:spacing w:after="0" w:line="240" w:lineRule="auto"/>
        <w:ind w:firstLine="567"/>
        <w:jc w:val="both"/>
        <w:rPr>
          <w:rStyle w:val="a5"/>
          <w:rFonts w:ascii="Times New Roman" w:eastAsia="SimSun" w:hAnsi="Times New Roman" w:cs="Times New Roman"/>
          <w:sz w:val="24"/>
          <w:szCs w:val="24"/>
        </w:rPr>
      </w:pPr>
    </w:p>
    <w:p w14:paraId="5397F219" w14:textId="556D08F4" w:rsidR="00D46348" w:rsidRPr="001A7DD0" w:rsidRDefault="00D46348" w:rsidP="00CA769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</w:pPr>
      <w:r w:rsidRPr="001A7DD0">
        <w:rPr>
          <w:b/>
          <w:bCs/>
        </w:rPr>
        <w:t xml:space="preserve">Обґрунтування </w:t>
      </w:r>
      <w:bookmarkStart w:id="0" w:name="_Hlk181271476"/>
      <w:r w:rsidRPr="001A7DD0">
        <w:rPr>
          <w:b/>
          <w:bCs/>
        </w:rPr>
        <w:t>розміру бюджетного призначення</w:t>
      </w:r>
      <w:bookmarkEnd w:id="0"/>
      <w:r w:rsidRPr="001A7DD0">
        <w:rPr>
          <w:b/>
          <w:bCs/>
        </w:rPr>
        <w:t xml:space="preserve">: </w:t>
      </w:r>
      <w:r w:rsidRPr="001A7DD0">
        <w:t>розмір бюджетного призначення визначений відповідно до розрахунків витрат коштів за КЕКВ: 2240 до кошторису на 2025 рік.</w:t>
      </w:r>
    </w:p>
    <w:p w14:paraId="7D3B4680" w14:textId="77777777" w:rsidR="00CA7694" w:rsidRDefault="00CA7694" w:rsidP="00CA76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D9BCE" w14:textId="2B307668" w:rsidR="00CA7694" w:rsidRPr="00CA7694" w:rsidRDefault="004C71DE" w:rsidP="00CA769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  <w:r w:rsidRPr="001A7DD0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т</w:t>
      </w:r>
      <w:proofErr w:type="spellStart"/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ехніч</w:t>
      </w:r>
      <w:proofErr w:type="spellEnd"/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них</w:t>
      </w:r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якісн</w:t>
      </w:r>
      <w:proofErr w:type="spellEnd"/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их</w:t>
      </w:r>
      <w:r w:rsidR="00F00066"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характеристик предмета закупівлі</w:t>
      </w:r>
      <w:r w:rsidRPr="001A7D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 xml:space="preserve">. </w:t>
      </w:r>
      <w:r w:rsidRPr="001A7D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UA" w:eastAsia="uk-UA"/>
        </w:rPr>
        <w:t>В</w:t>
      </w:r>
      <w:proofErr w:type="spellStart"/>
      <w:r w:rsidR="00F00066" w:rsidRPr="001A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изначені</w:t>
      </w:r>
      <w:proofErr w:type="spellEnd"/>
      <w:r w:rsidR="00F00066" w:rsidRPr="001A7D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відповідно до потреб замовника з урахуванням вимог законодавства.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Вимоги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до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предмету</w:t>
      </w:r>
      <w:proofErr w:type="spellEnd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закупівлі</w:t>
      </w:r>
      <w:proofErr w:type="spellEnd"/>
      <w:r w:rsidR="001A7DD0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: </w:t>
      </w:r>
      <w:proofErr w:type="spellStart"/>
      <w:r w:rsidR="001A7DD0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Кількість</w:t>
      </w:r>
      <w:proofErr w:type="spellEnd"/>
      <w:r w:rsidR="001A7DD0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1A7DD0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послуг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-</w:t>
      </w:r>
      <w:r w:rsidR="003A608A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r w:rsidR="00F225C5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1</w:t>
      </w:r>
      <w:r w:rsidR="003A608A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.</w:t>
      </w:r>
      <w:r w:rsidR="001A7DD0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Строки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надання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Послуги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: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після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передачі АТЗ до СТО протягом 2 (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двох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)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робочих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днів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.</w:t>
      </w:r>
      <w:r w:rsidR="00CA769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Місце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надання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Послуги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: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за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місцем знаходження СТО Виконавця в межах м.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Миколаєва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.</w:t>
      </w:r>
      <w:r w:rsidR="00CA769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При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наданні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Послуги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Учасник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гарантує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використання виключно оригінальних запасних частин та матеріалів, дотримання офіційних технологічних процесів та ДСТУ 2322-93 «ДСТУ 2322-93 Автомобілі легкові відремонтовані. Загальні технічні умови».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Учасник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гарантує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що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>ці</w:t>
      </w:r>
      <w:proofErr w:type="spellEnd"/>
      <w:r w:rsidR="00CA7694" w:rsidRPr="00CA7694">
        <w:rPr>
          <w:rFonts w:ascii="Times New Roman" w:eastAsia="Arial" w:hAnsi="Times New Roman" w:cs="Times New Roman"/>
          <w:sz w:val="24"/>
          <w:szCs w:val="24"/>
          <w:lang w:val="en-US" w:bidi="en-US"/>
        </w:rPr>
        <w:t xml:space="preserve"> запасні частини та матеріали абсолютно нові, раніше не використовувались, не були відновленими після попереднього використання та не містять жодних відновлених елементів. Крім того, вони  зберігаються з дотриманням всіх встановлених виробником умов, включаючи обмеження строку зберігання.</w:t>
      </w:r>
    </w:p>
    <w:p w14:paraId="15F8F1CF" w14:textId="447CA228" w:rsidR="00035AD7" w:rsidRDefault="00035AD7" w:rsidP="00CA769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</w:p>
    <w:p w14:paraId="7C65AE78" w14:textId="77777777" w:rsidR="00CA7694" w:rsidRPr="00CA7694" w:rsidRDefault="00CA7694" w:rsidP="00CA769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</w:p>
    <w:sectPr w:rsidR="00CA7694" w:rsidRPr="00CA7694" w:rsidSect="00CA76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09"/>
    <w:multiLevelType w:val="multilevel"/>
    <w:tmpl w:val="C76888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FC30F9"/>
    <w:multiLevelType w:val="multilevel"/>
    <w:tmpl w:val="DC92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45073"/>
    <w:rsid w:val="001A39EB"/>
    <w:rsid w:val="001A7DD0"/>
    <w:rsid w:val="001E4A9A"/>
    <w:rsid w:val="00212D8E"/>
    <w:rsid w:val="00213E7E"/>
    <w:rsid w:val="00216A4F"/>
    <w:rsid w:val="00222322"/>
    <w:rsid w:val="00244BCA"/>
    <w:rsid w:val="00280629"/>
    <w:rsid w:val="002D6EEB"/>
    <w:rsid w:val="002E153D"/>
    <w:rsid w:val="003A3991"/>
    <w:rsid w:val="003A608A"/>
    <w:rsid w:val="00420251"/>
    <w:rsid w:val="00435D01"/>
    <w:rsid w:val="0046033C"/>
    <w:rsid w:val="00467561"/>
    <w:rsid w:val="004C30B8"/>
    <w:rsid w:val="004C71DE"/>
    <w:rsid w:val="005048E6"/>
    <w:rsid w:val="00505C1F"/>
    <w:rsid w:val="00527E9E"/>
    <w:rsid w:val="00611EE2"/>
    <w:rsid w:val="006308F6"/>
    <w:rsid w:val="0063764F"/>
    <w:rsid w:val="00642F64"/>
    <w:rsid w:val="00661139"/>
    <w:rsid w:val="00673BDF"/>
    <w:rsid w:val="007135D1"/>
    <w:rsid w:val="00770143"/>
    <w:rsid w:val="007A455F"/>
    <w:rsid w:val="007B330E"/>
    <w:rsid w:val="007C615D"/>
    <w:rsid w:val="00830DDF"/>
    <w:rsid w:val="00847666"/>
    <w:rsid w:val="008C5578"/>
    <w:rsid w:val="008F230A"/>
    <w:rsid w:val="0090136D"/>
    <w:rsid w:val="00A26EDB"/>
    <w:rsid w:val="00A43CAB"/>
    <w:rsid w:val="00A5798B"/>
    <w:rsid w:val="00AA1394"/>
    <w:rsid w:val="00AD5C2A"/>
    <w:rsid w:val="00B721E1"/>
    <w:rsid w:val="00C758F8"/>
    <w:rsid w:val="00CA7694"/>
    <w:rsid w:val="00CB16F1"/>
    <w:rsid w:val="00D41B4F"/>
    <w:rsid w:val="00D46348"/>
    <w:rsid w:val="00D5092C"/>
    <w:rsid w:val="00DA41AB"/>
    <w:rsid w:val="00E77098"/>
    <w:rsid w:val="00EA6453"/>
    <w:rsid w:val="00F00066"/>
    <w:rsid w:val="00F225C5"/>
    <w:rsid w:val="00F23F21"/>
    <w:rsid w:val="00F71FD2"/>
    <w:rsid w:val="00F92CC0"/>
    <w:rsid w:val="00FA6710"/>
    <w:rsid w:val="00FC6256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  <w:style w:type="character" w:customStyle="1" w:styleId="a7">
    <w:name w:val="Основной текст_"/>
    <w:link w:val="12"/>
    <w:locked/>
    <w:rsid w:val="00222322"/>
    <w:rPr>
      <w:rFonts w:ascii="Times New Roman" w:hAnsi="Times New Roman"/>
    </w:rPr>
  </w:style>
  <w:style w:type="paragraph" w:customStyle="1" w:styleId="12">
    <w:name w:val="Основной текст1"/>
    <w:basedOn w:val="a"/>
    <w:link w:val="a7"/>
    <w:rsid w:val="00222322"/>
    <w:pPr>
      <w:widowControl w:val="0"/>
      <w:spacing w:after="0" w:line="262" w:lineRule="auto"/>
      <w:ind w:firstLine="400"/>
    </w:pPr>
    <w:rPr>
      <w:rFonts w:ascii="Times New Roman" w:hAnsi="Times New Roman"/>
      <w:lang w:val="ru-RU"/>
    </w:rPr>
  </w:style>
  <w:style w:type="character" w:customStyle="1" w:styleId="a8">
    <w:name w:val="Подпись к таблице_"/>
    <w:basedOn w:val="a0"/>
    <w:link w:val="a9"/>
    <w:rsid w:val="00F225C5"/>
    <w:rPr>
      <w:rFonts w:ascii="Arial" w:eastAsia="Arial" w:hAnsi="Arial" w:cs="Arial"/>
      <w:sz w:val="16"/>
      <w:szCs w:val="16"/>
      <w:shd w:val="clear" w:color="auto" w:fill="FFFFFF"/>
      <w:lang w:val="en-US" w:bidi="en-US"/>
    </w:rPr>
  </w:style>
  <w:style w:type="paragraph" w:customStyle="1" w:styleId="a9">
    <w:name w:val="Подпись к таблице"/>
    <w:basedOn w:val="a"/>
    <w:link w:val="a8"/>
    <w:rsid w:val="00F225C5"/>
    <w:pPr>
      <w:widowControl w:val="0"/>
      <w:shd w:val="clear" w:color="auto" w:fill="FFFFFF"/>
      <w:spacing w:after="0" w:line="293" w:lineRule="auto"/>
    </w:pPr>
    <w:rPr>
      <w:rFonts w:ascii="Arial" w:eastAsia="Arial" w:hAnsi="Arial" w:cs="Arial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70</cp:revision>
  <cp:lastPrinted>2023-03-02T12:57:00Z</cp:lastPrinted>
  <dcterms:created xsi:type="dcterms:W3CDTF">2022-02-23T12:13:00Z</dcterms:created>
  <dcterms:modified xsi:type="dcterms:W3CDTF">2025-04-16T12:45:00Z</dcterms:modified>
</cp:coreProperties>
</file>