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</w:rPr>
        <w:t xml:space="preserve">ОБГРУНТУВАННЯ </w:t>
      </w:r>
    </w:p>
    <w:p w14:paraId="545FF52F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0D80C5BC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C161B9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C161B9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C161B9" w:rsidRDefault="00222322" w:rsidP="00C161B9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B901" w14:textId="72B32F5E" w:rsidR="00DA41AB" w:rsidRPr="00C161B9" w:rsidRDefault="00D46348" w:rsidP="00C161B9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63764F" w:rsidRPr="00C161B9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Послуги з технічного обслуговування автомобілів, код CPV за ДК 021:2015: 50110000-9 Послуги з ремонту і технічного обслуговування мототранспортних засобів і супутнього обладнання</w:t>
      </w:r>
    </w:p>
    <w:p w14:paraId="2E5BB224" w14:textId="6728538C" w:rsidR="00D46348" w:rsidRPr="00C161B9" w:rsidRDefault="00D46348" w:rsidP="00C161B9">
      <w:pPr>
        <w:tabs>
          <w:tab w:val="left" w:pos="0"/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C161B9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C161B9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C161B9" w:rsidRDefault="00D4634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E3076" w14:textId="77777777" w:rsidR="00C161B9" w:rsidRPr="00C161B9" w:rsidRDefault="00D4634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UA-2025-03-14-011758-a</w:t>
      </w:r>
    </w:p>
    <w:p w14:paraId="23BAB0FE" w14:textId="38BD45DE" w:rsidR="00C161B9" w:rsidRPr="00C161B9" w:rsidRDefault="00D4634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Очікувана вартість </w:t>
      </w:r>
      <w:r w:rsidR="00C161B9" w:rsidRPr="00C161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Закупівлі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ПДВ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 45 120,00 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грн.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Очікувана вартість </w:t>
      </w:r>
      <w:r w:rsidR="00C161B9" w:rsidRPr="00C161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Закупівлі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>без ПДВ: 37 600,00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грн. </w:t>
      </w:r>
    </w:p>
    <w:p w14:paraId="4F4A4060" w14:textId="4C24D7F0" w:rsidR="00D46348" w:rsidRPr="00C161B9" w:rsidRDefault="00D46348" w:rsidP="00C161B9">
      <w:pPr>
        <w:tabs>
          <w:tab w:val="left" w:pos="4020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161B9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r w:rsidRPr="00C161B9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C161B9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C161B9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C161B9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C161B9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C161B9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C161B9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C161B9" w:rsidRDefault="00D46348" w:rsidP="00C161B9">
      <w:pPr>
        <w:tabs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C161B9" w:rsidRDefault="00D46348" w:rsidP="00C161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161B9">
        <w:rPr>
          <w:b/>
          <w:bCs/>
        </w:rPr>
        <w:t xml:space="preserve">Обґрунтування </w:t>
      </w:r>
      <w:bookmarkStart w:id="0" w:name="_Hlk181271476"/>
      <w:r w:rsidRPr="00C161B9">
        <w:rPr>
          <w:b/>
          <w:bCs/>
        </w:rPr>
        <w:t>розміру бюджетного призначення</w:t>
      </w:r>
      <w:bookmarkEnd w:id="0"/>
      <w:r w:rsidRPr="00C161B9">
        <w:rPr>
          <w:b/>
          <w:bCs/>
        </w:rPr>
        <w:t xml:space="preserve">: </w:t>
      </w:r>
      <w:r w:rsidRPr="00C161B9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C161B9" w:rsidRDefault="004C71DE" w:rsidP="00C161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якісн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C161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r w:rsidR="00F00066" w:rsidRPr="00C16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изначені відповідно до потреб замовника з урахуванням вимог законодавства. </w:t>
      </w:r>
    </w:p>
    <w:p w14:paraId="5D8AB41B" w14:textId="77777777" w:rsidR="00467561" w:rsidRPr="00C161B9" w:rsidRDefault="00467561" w:rsidP="00C161B9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A536D" w14:textId="72C41847" w:rsidR="00C161B9" w:rsidRDefault="004C71DE" w:rsidP="00744B18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1A7DD0" w:rsidRPr="00C161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7DD0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 послуг</w:t>
      </w:r>
      <w:r w:rsidR="001A7DD0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C161B9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</w:t>
      </w:r>
      <w:r w:rsidR="00744B1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. </w:t>
      </w:r>
      <w:r w:rsidR="00C161B9" w:rsidRPr="00C161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Строки надання Послуг: по заявці Замовника впродовж 2 двох робочих днів. </w:t>
      </w:r>
      <w:r w:rsidR="00C161B9" w:rsidRPr="00C161B9">
        <w:rPr>
          <w:rFonts w:ascii="Times New Roman" w:hAnsi="Times New Roman" w:cs="Times New Roman"/>
          <w:sz w:val="24"/>
          <w:szCs w:val="24"/>
        </w:rPr>
        <w:t>Місце надання Послуг: за місцем знаходження станції технічного обслуговування в межах м. Миколаєва.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Запасні частини та витратні матеріали становлять не більше 50% від суми тендерної пропозиції.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Загальна кількість послуг, визначаються Замовником згідно фактичної потреби.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 xml:space="preserve">Для забезпечення виконання гарантійних зобов’язань протягом гарантійного періоду технічне обслуговування автомобілів Замовника </w:t>
      </w:r>
      <w:r w:rsidR="00C161B9" w:rsidRPr="00C161B9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ar-SA"/>
        </w:rPr>
        <w:t>TOYOTA</w:t>
      </w:r>
      <w:r w:rsidR="00C161B9" w:rsidRPr="00C161B9">
        <w:rPr>
          <w:rFonts w:ascii="Times New Roman" w:hAnsi="Times New Roman" w:cs="Times New Roman"/>
          <w:sz w:val="24"/>
          <w:szCs w:val="24"/>
        </w:rPr>
        <w:t xml:space="preserve"> проводиться виключно в офіційній сервісній мережі виробника або його офіційного дилера.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При наданні послуг з технічного обслуговування Учасник гарантує  використання виключно оригінальних запасних частин та матеріалів, дотримання  офіційних технологічних процесів і регламентів технічного обслуговування.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Учасник гарантує, що ці запасні частини та матеріали абсолютно нові, раніше не використовувались, не були відновленими після попереднього використання та не містять жодних відновлених елементів. Крім того, вони  зберігаються з дотриманням всіх встановлених виробником умов, включаючи обмеження строку зберігання.</w:t>
      </w:r>
    </w:p>
    <w:p w14:paraId="1D90A983" w14:textId="77777777" w:rsidR="00744B18" w:rsidRPr="00C161B9" w:rsidRDefault="00744B1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Layout w:type="fixed"/>
        <w:tblLook w:val="0400" w:firstRow="0" w:lastRow="0" w:firstColumn="0" w:lastColumn="0" w:noHBand="0" w:noVBand="1"/>
      </w:tblPr>
      <w:tblGrid>
        <w:gridCol w:w="4361"/>
        <w:gridCol w:w="2552"/>
        <w:gridCol w:w="2510"/>
      </w:tblGrid>
      <w:tr w:rsidR="00744B18" w:rsidRPr="00744B18" w14:paraId="12F5D539" w14:textId="77777777" w:rsidTr="009C1585">
        <w:tc>
          <w:tcPr>
            <w:tcW w:w="4361" w:type="dxa"/>
          </w:tcPr>
          <w:p w14:paraId="0DE89891" w14:textId="77777777" w:rsidR="00744B18" w:rsidRPr="00744B18" w:rsidRDefault="00744B18" w:rsidP="009C1585">
            <w:pPr>
              <w:shd w:val="clear" w:color="auto" w:fill="FFFFFF"/>
              <w:spacing w:after="0"/>
              <w:ind w:left="-105" w:right="33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Головний спеціаліст відділу матеріально- технічного забезпечення та соціально-побутових потреб обласної прокуратури</w:t>
            </w:r>
          </w:p>
        </w:tc>
        <w:tc>
          <w:tcPr>
            <w:tcW w:w="2552" w:type="dxa"/>
            <w:vAlign w:val="center"/>
          </w:tcPr>
          <w:p w14:paraId="2F31984B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C2FC4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146BA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FF2FCD9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57DB0246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F31192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Людмила Сотнікова </w:t>
            </w:r>
          </w:p>
        </w:tc>
      </w:tr>
    </w:tbl>
    <w:p w14:paraId="15F8F1CF" w14:textId="77777777" w:rsidR="00035AD7" w:rsidRPr="00C161B9" w:rsidRDefault="00035AD7" w:rsidP="0074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C161B9" w:rsidSect="00744B18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44B18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161B9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68</cp:revision>
  <cp:lastPrinted>2023-03-02T12:57:00Z</cp:lastPrinted>
  <dcterms:created xsi:type="dcterms:W3CDTF">2022-02-23T12:13:00Z</dcterms:created>
  <dcterms:modified xsi:type="dcterms:W3CDTF">2025-03-17T14:00:00Z</dcterms:modified>
</cp:coreProperties>
</file>