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DB" w:rsidRDefault="00FB1DDB" w:rsidP="00FB1DDB">
      <w:pPr>
        <w:pStyle w:val="NormalWeb"/>
        <w:shd w:val="clear" w:color="auto" w:fill="FFFFFF"/>
        <w:spacing w:before="0" w:beforeAutospacing="0" w:after="0" w:afterAutospacing="0"/>
        <w:jc w:val="center"/>
        <w:rPr>
          <w:b/>
          <w:bCs/>
        </w:rPr>
      </w:pPr>
      <w:r>
        <w:rPr>
          <w:b/>
          <w:bCs/>
        </w:rPr>
        <w:t xml:space="preserve">ОБГРУНТУВАННЯ </w:t>
      </w:r>
    </w:p>
    <w:p w:rsidR="00FB1DDB" w:rsidRDefault="00FB1DDB" w:rsidP="00FB1DDB">
      <w:pPr>
        <w:pStyle w:val="NormalWeb"/>
        <w:shd w:val="clear" w:color="auto" w:fill="FFFFFF"/>
        <w:spacing w:before="0" w:beforeAutospacing="0" w:after="0" w:afterAutospacing="0"/>
        <w:jc w:val="center"/>
        <w:rPr>
          <w:b/>
          <w:bCs/>
          <w:color w:val="010101"/>
          <w:lang w:val="uk-UA"/>
        </w:rPr>
      </w:pPr>
      <w:r>
        <w:rPr>
          <w:b/>
          <w:bCs/>
        </w:rPr>
        <w:t>(на виконання пункту 41 постанови Кабінету Міністрів України від 11 жовтня 2016 р. № 710 «Про ефективне використання бюджетних коштів»)</w:t>
      </w:r>
    </w:p>
    <w:p w:rsidR="00FB1DDB" w:rsidRDefault="00FB1DDB" w:rsidP="00FB1DDB">
      <w:pPr>
        <w:pStyle w:val="NormalWeb"/>
        <w:shd w:val="clear" w:color="auto" w:fill="FFFFFF"/>
        <w:spacing w:before="0" w:beforeAutospacing="0" w:after="0" w:afterAutospacing="0"/>
        <w:jc w:val="center"/>
        <w:rPr>
          <w:b/>
          <w:bCs/>
          <w:color w:val="010101"/>
          <w:lang w:val="uk-UA"/>
        </w:rPr>
      </w:pPr>
    </w:p>
    <w:p w:rsidR="00FB1DDB" w:rsidRPr="00652826" w:rsidRDefault="00FB1DDB" w:rsidP="00FB1DDB">
      <w:pPr>
        <w:spacing w:line="240" w:lineRule="atLeast"/>
        <w:jc w:val="both"/>
        <w:rPr>
          <w:rFonts w:ascii="Times New Roman" w:eastAsia="Times New Roman" w:hAnsi="Times New Roman" w:cs="Times New Roman"/>
          <w:noProof w:val="0"/>
          <w:color w:val="010101"/>
          <w:sz w:val="24"/>
          <w:szCs w:val="24"/>
        </w:rPr>
      </w:pPr>
      <w:r>
        <w:rPr>
          <w:rFonts w:ascii="Times New Roman" w:hAnsi="Times New Roman" w:cs="Times New Roman"/>
          <w:b/>
          <w:bCs/>
          <w:sz w:val="24"/>
          <w:szCs w:val="24"/>
        </w:rPr>
        <w:t>1. Предмет закупівлі:</w:t>
      </w:r>
      <w:r>
        <w:rPr>
          <w:rFonts w:ascii="Times New Roman" w:hAnsi="Times New Roman" w:cs="Times New Roman"/>
          <w:sz w:val="24"/>
          <w:szCs w:val="24"/>
        </w:rPr>
        <w:t xml:space="preserve"> </w:t>
      </w:r>
      <w:r w:rsidR="00652826" w:rsidRPr="00652826">
        <w:rPr>
          <w:rFonts w:ascii="Times New Roman" w:eastAsia="Times New Roman" w:hAnsi="Times New Roman" w:cs="Times New Roman"/>
          <w:noProof w:val="0"/>
          <w:color w:val="010101"/>
          <w:sz w:val="24"/>
          <w:szCs w:val="24"/>
        </w:rPr>
        <w:t>Послуги з активації ліцензії на право використання комп’ютерних програм «LIGA 360»</w:t>
      </w:r>
      <w:r w:rsidRPr="00652826">
        <w:rPr>
          <w:rFonts w:ascii="Times New Roman" w:eastAsia="Times New Roman" w:hAnsi="Times New Roman" w:cs="Times New Roman"/>
          <w:noProof w:val="0"/>
          <w:color w:val="010101"/>
          <w:sz w:val="24"/>
          <w:szCs w:val="24"/>
        </w:rPr>
        <w:t xml:space="preserve"> (ДК 021:2015: </w:t>
      </w:r>
      <w:r w:rsidR="00652826" w:rsidRPr="00652826">
        <w:rPr>
          <w:rFonts w:ascii="Times New Roman" w:eastAsia="Times New Roman" w:hAnsi="Times New Roman" w:cs="Times New Roman"/>
          <w:noProof w:val="0"/>
          <w:color w:val="010101"/>
          <w:sz w:val="24"/>
          <w:szCs w:val="24"/>
        </w:rPr>
        <w:t>72260000-5: Послуги, пов’язані з програмним забезпеченням</w:t>
      </w:r>
      <w:r w:rsidRPr="00652826">
        <w:rPr>
          <w:rFonts w:ascii="Times New Roman" w:eastAsia="Times New Roman" w:hAnsi="Times New Roman" w:cs="Times New Roman"/>
          <w:noProof w:val="0"/>
          <w:color w:val="010101"/>
          <w:sz w:val="24"/>
          <w:szCs w:val="24"/>
        </w:rPr>
        <w:t xml:space="preserve">). </w:t>
      </w:r>
    </w:p>
    <w:p w:rsidR="00FB1DDB" w:rsidRPr="00652826" w:rsidRDefault="00FB1DDB" w:rsidP="00FB1DDB">
      <w:pPr>
        <w:spacing w:line="240" w:lineRule="atLeast"/>
        <w:jc w:val="both"/>
        <w:rPr>
          <w:rFonts w:ascii="Times New Roman" w:eastAsia="Times New Roman" w:hAnsi="Times New Roman" w:cs="Times New Roman"/>
          <w:noProof w:val="0"/>
          <w:color w:val="010101"/>
          <w:sz w:val="24"/>
          <w:szCs w:val="24"/>
        </w:rPr>
      </w:pPr>
      <w:r w:rsidRPr="00652826">
        <w:rPr>
          <w:rFonts w:ascii="Times New Roman" w:eastAsia="Times New Roman" w:hAnsi="Times New Roman" w:cs="Times New Roman"/>
          <w:b/>
          <w:noProof w:val="0"/>
          <w:color w:val="010101"/>
          <w:sz w:val="24"/>
          <w:szCs w:val="24"/>
        </w:rPr>
        <w:t>2. Вид процедури:</w:t>
      </w:r>
      <w:r w:rsidRPr="00652826">
        <w:rPr>
          <w:rFonts w:ascii="Times New Roman" w:eastAsia="Times New Roman" w:hAnsi="Times New Roman" w:cs="Times New Roman"/>
          <w:noProof w:val="0"/>
          <w:color w:val="010101"/>
          <w:sz w:val="24"/>
          <w:szCs w:val="24"/>
        </w:rPr>
        <w:t xml:space="preserve"> відкриті торги з особливостями. </w:t>
      </w:r>
    </w:p>
    <w:p w:rsidR="00652826" w:rsidRPr="00652826" w:rsidRDefault="00FB1DDB" w:rsidP="00045842">
      <w:pPr>
        <w:spacing w:line="240" w:lineRule="atLeast"/>
        <w:jc w:val="both"/>
        <w:rPr>
          <w:rFonts w:ascii="Times New Roman" w:eastAsia="Times New Roman" w:hAnsi="Times New Roman" w:cs="Times New Roman"/>
          <w:noProof w:val="0"/>
          <w:color w:val="010101"/>
          <w:sz w:val="24"/>
          <w:szCs w:val="24"/>
        </w:rPr>
      </w:pPr>
      <w:r w:rsidRPr="00652826">
        <w:rPr>
          <w:rFonts w:ascii="Times New Roman" w:eastAsia="Times New Roman" w:hAnsi="Times New Roman" w:cs="Times New Roman"/>
          <w:b/>
          <w:noProof w:val="0"/>
          <w:color w:val="010101"/>
          <w:sz w:val="24"/>
          <w:szCs w:val="24"/>
        </w:rPr>
        <w:t>3. Номер оголошення закупівлі:</w:t>
      </w:r>
      <w:r w:rsidRPr="00652826">
        <w:rPr>
          <w:rFonts w:ascii="Times New Roman" w:eastAsia="Times New Roman" w:hAnsi="Times New Roman" w:cs="Times New Roman"/>
          <w:noProof w:val="0"/>
          <w:color w:val="010101"/>
          <w:sz w:val="24"/>
          <w:szCs w:val="24"/>
        </w:rPr>
        <w:t xml:space="preserve"> </w:t>
      </w:r>
      <w:r w:rsidR="00652826" w:rsidRPr="00652826">
        <w:rPr>
          <w:rFonts w:ascii="Times New Roman" w:eastAsia="Times New Roman" w:hAnsi="Times New Roman" w:cs="Times New Roman"/>
          <w:noProof w:val="0"/>
          <w:color w:val="010101"/>
          <w:sz w:val="24"/>
          <w:szCs w:val="24"/>
        </w:rPr>
        <w:t>UA-2024-11-07-015718-a</w:t>
      </w:r>
    </w:p>
    <w:p w:rsidR="00FB1DDB" w:rsidRPr="00045842" w:rsidRDefault="00FB1DDB" w:rsidP="00045842">
      <w:pPr>
        <w:spacing w:line="240" w:lineRule="atLeast"/>
        <w:jc w:val="both"/>
        <w:rPr>
          <w:rFonts w:ascii="Times New Roman" w:eastAsia="Times New Roman" w:hAnsi="Times New Roman" w:cs="Times New Roman"/>
          <w:noProof w:val="0"/>
          <w:color w:val="010101"/>
          <w:sz w:val="24"/>
          <w:szCs w:val="24"/>
        </w:rPr>
      </w:pPr>
      <w:r w:rsidRPr="00045842">
        <w:rPr>
          <w:rFonts w:ascii="Times New Roman" w:hAnsi="Times New Roman" w:cs="Times New Roman"/>
          <w:b/>
          <w:bCs/>
        </w:rPr>
        <w:t>4</w:t>
      </w:r>
      <w:r w:rsidRPr="00045842">
        <w:rPr>
          <w:rFonts w:ascii="Times New Roman" w:eastAsia="Times New Roman" w:hAnsi="Times New Roman" w:cs="Times New Roman"/>
          <w:noProof w:val="0"/>
          <w:color w:val="010101"/>
          <w:sz w:val="24"/>
          <w:szCs w:val="24"/>
        </w:rPr>
        <w:t xml:space="preserve">. </w:t>
      </w:r>
      <w:r w:rsidRPr="00045842">
        <w:rPr>
          <w:rFonts w:ascii="Times New Roman" w:eastAsia="Times New Roman" w:hAnsi="Times New Roman" w:cs="Times New Roman"/>
          <w:b/>
          <w:noProof w:val="0"/>
          <w:color w:val="010101"/>
          <w:sz w:val="24"/>
          <w:szCs w:val="24"/>
        </w:rPr>
        <w:t>Обґрунтування технічних та якісних характеристик предмета закупівлі:</w:t>
      </w:r>
      <w:r w:rsidRPr="00045842">
        <w:rPr>
          <w:rFonts w:ascii="Times New Roman" w:eastAsia="Times New Roman" w:hAnsi="Times New Roman" w:cs="Times New Roman"/>
          <w:noProof w:val="0"/>
          <w:color w:val="010101"/>
          <w:sz w:val="24"/>
          <w:szCs w:val="24"/>
        </w:rPr>
        <w:t xml:space="preserve"> технічні та якісні характеристики предмета закупівлі визначені відповідно до потреб Замовника з метою забезпечення безперебійної роботи установи. Технічні та якісні характеристики предмета закупівлі були встановлені на підставі проведених попередніх консультацій з організаціями та установами, відповідно до частини 4 статті 4 Закону України «Про публічні закупівлі», аналізу ринку щодо наявних технологічних рішень. Отримана інформація була використана для підготовки технічної специфікації щодо закупівлі вищезазначеного предмету закупівлі. Всі консультації та надані рекомендації не призводять до порушення статті 5 Закону України «Про публічні закупівлі». Проведення попередніх ринкових консультацій замовником не вважається участю суб’єктів господарювання у підготовці вимог до тендерної документації.</w:t>
      </w:r>
    </w:p>
    <w:p w:rsidR="00FB1DDB" w:rsidRDefault="00FB1DDB" w:rsidP="00FB1DDB">
      <w:pPr>
        <w:pStyle w:val="NormalWeb"/>
        <w:shd w:val="clear" w:color="auto" w:fill="FFFFFF"/>
        <w:spacing w:before="0" w:beforeAutospacing="0"/>
        <w:jc w:val="both"/>
      </w:pPr>
      <w:r>
        <w:rPr>
          <w:b/>
          <w:bCs/>
          <w:lang w:val="uk-UA"/>
        </w:rPr>
        <w:t xml:space="preserve">5. </w:t>
      </w:r>
      <w:r>
        <w:rPr>
          <w:b/>
          <w:bCs/>
        </w:rPr>
        <w:t xml:space="preserve">Обґрунтування </w:t>
      </w:r>
      <w:bookmarkStart w:id="0" w:name="_Hlk181271476"/>
      <w:r>
        <w:rPr>
          <w:b/>
          <w:bCs/>
        </w:rPr>
        <w:t>розміру бюджетного призначення</w:t>
      </w:r>
      <w:bookmarkEnd w:id="0"/>
      <w:r>
        <w:rPr>
          <w:b/>
          <w:bCs/>
          <w:lang w:val="uk-UA"/>
        </w:rPr>
        <w:t xml:space="preserve">: </w:t>
      </w:r>
      <w:r>
        <w:rPr>
          <w:lang w:val="uk-UA"/>
        </w:rPr>
        <w:t>р</w:t>
      </w:r>
      <w:r>
        <w:t>озмір бюджетного призначення визначений відповідно до розрахунків витрат коштів за КЕКВ: 22</w:t>
      </w:r>
      <w:r w:rsidR="00FF6653">
        <w:rPr>
          <w:lang w:val="uk-UA"/>
        </w:rPr>
        <w:t>40</w:t>
      </w:r>
      <w:bookmarkStart w:id="1" w:name="_GoBack"/>
      <w:bookmarkEnd w:id="1"/>
      <w:r>
        <w:t xml:space="preserve"> до кошторису на 202</w:t>
      </w:r>
      <w:r>
        <w:rPr>
          <w:lang w:val="uk-UA"/>
        </w:rPr>
        <w:t>4</w:t>
      </w:r>
      <w:r>
        <w:t xml:space="preserve"> рік.</w:t>
      </w:r>
    </w:p>
    <w:p w:rsidR="00FB1DDB" w:rsidRDefault="00FB1DDB" w:rsidP="00FB1DDB">
      <w:pPr>
        <w:pStyle w:val="NormalWeb"/>
        <w:shd w:val="clear" w:color="auto" w:fill="FFFFFF"/>
        <w:spacing w:before="0" w:beforeAutospacing="0"/>
        <w:jc w:val="both"/>
        <w:rPr>
          <w:color w:val="010101"/>
        </w:rPr>
      </w:pPr>
      <w:r>
        <w:rPr>
          <w:b/>
          <w:bCs/>
          <w:color w:val="010101"/>
          <w:lang w:val="uk-UA"/>
        </w:rPr>
        <w:t xml:space="preserve">6. </w:t>
      </w:r>
      <w:r>
        <w:rPr>
          <w:b/>
          <w:bCs/>
          <w:color w:val="010101"/>
        </w:rPr>
        <w:t>Обґрунтування очікуваної вартості закупівлі:</w:t>
      </w:r>
      <w:r>
        <w:rPr>
          <w:b/>
          <w:bCs/>
          <w:color w:val="010101"/>
          <w:lang w:val="uk-UA"/>
        </w:rPr>
        <w:t xml:space="preserve"> </w:t>
      </w:r>
      <w:r>
        <w:rPr>
          <w:color w:val="010101"/>
          <w:lang w:val="uk-UA"/>
        </w:rPr>
        <w:t>о</w:t>
      </w:r>
      <w:r>
        <w:rPr>
          <w:color w:val="010101"/>
        </w:rPr>
        <w:t xml:space="preserve">чікувана вартість закупівлі </w:t>
      </w:r>
      <w:r>
        <w:t>підтверджена проведенням моніторингу цінових пропозицій</w:t>
      </w:r>
      <w:r>
        <w:rPr>
          <w:lang w:val="uk-UA"/>
        </w:rPr>
        <w:t xml:space="preserve">, </w:t>
      </w:r>
      <w:r>
        <w:rPr>
          <w:color w:val="010101"/>
        </w:rPr>
        <w:t>визначена шляхом здійснення аналізу цін серед постачальників, що відповідають встановленим вимогам в цій тендерній документації</w:t>
      </w:r>
      <w:r>
        <w:rPr>
          <w:color w:val="010101"/>
          <w:lang w:val="uk-UA"/>
        </w:rPr>
        <w:t xml:space="preserve">, </w:t>
      </w:r>
      <w:r>
        <w:t xml:space="preserve">у тому числі за допомогою електронної платформи </w:t>
      </w:r>
      <w:hyperlink r:id="rId5" w:history="1">
        <w:r>
          <w:rPr>
            <w:rStyle w:val="Hyperlink"/>
            <w:rFonts w:eastAsia="SimSun"/>
          </w:rPr>
          <w:t>https://bi.prozorro.org</w:t>
        </w:r>
      </w:hyperlink>
      <w:r>
        <w:rPr>
          <w:rStyle w:val="Hyperlink"/>
          <w:rFonts w:eastAsia="SimSun"/>
        </w:rPr>
        <w:t>.</w:t>
      </w:r>
    </w:p>
    <w:p w:rsidR="00FB1DDB" w:rsidRDefault="00FB1DDB" w:rsidP="00FB1DDB">
      <w:pPr>
        <w:pStyle w:val="NormalWeb"/>
        <w:shd w:val="clear" w:color="auto" w:fill="FFFFFF"/>
        <w:spacing w:before="0" w:beforeAutospacing="0"/>
        <w:rPr>
          <w:b/>
        </w:rPr>
      </w:pPr>
      <w:r>
        <w:rPr>
          <w:b/>
          <w:bCs/>
          <w:color w:val="010101"/>
        </w:rPr>
        <w:t> </w:t>
      </w:r>
    </w:p>
    <w:p w:rsidR="00FB1DDB" w:rsidRDefault="00FB1DDB" w:rsidP="00FB1DDB">
      <w:pPr>
        <w:rPr>
          <w:rFonts w:ascii="Times New Roman" w:hAnsi="Times New Roman" w:cs="Times New Roman"/>
          <w:color w:val="333333"/>
          <w:sz w:val="24"/>
          <w:szCs w:val="24"/>
          <w:shd w:val="clear" w:color="auto" w:fill="FFFFFF"/>
        </w:rPr>
      </w:pPr>
    </w:p>
    <w:p w:rsidR="00FB1DDB" w:rsidRDefault="00FB1DDB" w:rsidP="00FB1DDB">
      <w:pPr>
        <w:rPr>
          <w:rFonts w:ascii="Times New Roman" w:hAnsi="Times New Roman" w:cs="Times New Roman"/>
          <w:sz w:val="24"/>
          <w:szCs w:val="24"/>
          <w:lang w:val="uk-UA"/>
        </w:rPr>
      </w:pPr>
    </w:p>
    <w:p w:rsidR="00FB1DDB" w:rsidRDefault="00FB1DDB" w:rsidP="00FB1DDB">
      <w:pPr>
        <w:rPr>
          <w:rFonts w:ascii="Times New Roman" w:hAnsi="Times New Roman" w:cs="Times New Roman"/>
          <w:sz w:val="24"/>
          <w:szCs w:val="24"/>
          <w:lang w:val="uk-UA"/>
        </w:rPr>
      </w:pPr>
    </w:p>
    <w:p w:rsidR="005B7B22" w:rsidRDefault="005B7B22"/>
    <w:sectPr w:rsidR="005B7B22" w:rsidSect="00CF3E51">
      <w:pgSz w:w="11906" w:h="16838"/>
      <w:pgMar w:top="709"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BD"/>
    <w:rsid w:val="00045842"/>
    <w:rsid w:val="005B7B22"/>
    <w:rsid w:val="00652826"/>
    <w:rsid w:val="00A977BD"/>
    <w:rsid w:val="00CF3E51"/>
    <w:rsid w:val="00FB1DDB"/>
    <w:rsid w:val="00FF6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B"/>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DDB"/>
    <w:rPr>
      <w:color w:val="0000FF" w:themeColor="hyperlink"/>
      <w:u w:val="single"/>
    </w:rPr>
  </w:style>
  <w:style w:type="paragraph" w:styleId="NormalWeb">
    <w:name w:val="Normal (Web)"/>
    <w:basedOn w:val="Normal"/>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DB"/>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DDB"/>
    <w:rPr>
      <w:color w:val="0000FF" w:themeColor="hyperlink"/>
      <w:u w:val="single"/>
    </w:rPr>
  </w:style>
  <w:style w:type="paragraph" w:styleId="NormalWeb">
    <w:name w:val="Normal (Web)"/>
    <w:basedOn w:val="Normal"/>
    <w:uiPriority w:val="99"/>
    <w:semiHidden/>
    <w:unhideWhenUsed/>
    <w:rsid w:val="00FB1DDB"/>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prozor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266</Words>
  <Characters>1602</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Media</dc:creator>
  <cp:keywords/>
  <dc:description/>
  <cp:lastModifiedBy>Media Media</cp:lastModifiedBy>
  <cp:revision>11</cp:revision>
  <dcterms:created xsi:type="dcterms:W3CDTF">2024-11-07T20:39:00Z</dcterms:created>
  <dcterms:modified xsi:type="dcterms:W3CDTF">2024-11-07T22:15:00Z</dcterms:modified>
</cp:coreProperties>
</file>