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6B83" w14:textId="00D55E38" w:rsidR="00462C6F" w:rsidRPr="00462C6F" w:rsidRDefault="00462C6F" w:rsidP="004A207A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Звіт про отримання майна в рамках про</w:t>
      </w:r>
      <w:r w:rsidR="00726398" w:rsidRPr="00726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є</w:t>
      </w: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кту міжнародної технічної допомоги</w:t>
      </w:r>
      <w:bookmarkStart w:id="0" w:name="_GoBack"/>
      <w:bookmarkEnd w:id="0"/>
    </w:p>
    <w:p w14:paraId="6BDFD5DA" w14:textId="37AE84F0" w:rsidR="00462C6F" w:rsidRDefault="00726398" w:rsidP="00726398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62C6F"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рамках реалізації 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кту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(програми) КМЄС в Україні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Операційна п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ідтримка 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у наданні стратегічних консультацій щодо реформування сектору цивільної безпеки України (2021 - 2024 рр.)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червні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3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4706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Миколаївською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обласною прокуратурою 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отримано</w:t>
      </w:r>
      <w:r w:rsidR="00732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зараховано на баланс </w:t>
      </w:r>
      <w:r w:rsidR="009A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якості безоплатної міжнародної технічної допомоги </w:t>
      </w:r>
      <w:r w:rsidR="00124E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зарядна станція та сонячні панелі</w:t>
      </w:r>
      <w:r w:rsidR="00340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124E2E">
        <w:rPr>
          <w:rStyle w:val="docdata"/>
          <w:rFonts w:ascii="Times New Roman" w:hAnsi="Times New Roman" w:cs="Times New Roman"/>
          <w:sz w:val="28"/>
          <w:szCs w:val="28"/>
          <w:lang w:val="uk-UA"/>
        </w:rPr>
        <w:t>87907,53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14:paraId="01F076DE" w14:textId="77777777" w:rsidR="00443153" w:rsidRDefault="00443153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p w14:paraId="6571B380" w14:textId="77777777" w:rsidR="00124E2E" w:rsidRDefault="00124E2E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62"/>
        <w:gridCol w:w="1501"/>
        <w:gridCol w:w="1500"/>
        <w:gridCol w:w="1456"/>
      </w:tblGrid>
      <w:tr w:rsidR="00443153" w:rsidRPr="00EA03BA" w14:paraId="0DF973DB" w14:textId="77777777" w:rsidTr="004A207A">
        <w:tc>
          <w:tcPr>
            <w:tcW w:w="562" w:type="dxa"/>
            <w:shd w:val="clear" w:color="auto" w:fill="auto"/>
            <w:vAlign w:val="center"/>
          </w:tcPr>
          <w:p w14:paraId="010CD9E0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№ </w:t>
            </w:r>
          </w:p>
          <w:p w14:paraId="650F14D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62" w:type="dxa"/>
            <w:vAlign w:val="center"/>
          </w:tcPr>
          <w:p w14:paraId="0E9F1188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нефінансових</w:t>
            </w:r>
            <w:proofErr w:type="spellEnd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 активів</w:t>
            </w:r>
          </w:p>
        </w:tc>
        <w:tc>
          <w:tcPr>
            <w:tcW w:w="1501" w:type="dxa"/>
            <w:vAlign w:val="center"/>
          </w:tcPr>
          <w:p w14:paraId="07705332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500" w:type="dxa"/>
            <w:vAlign w:val="center"/>
          </w:tcPr>
          <w:p w14:paraId="7B344EE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0C3AE11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Разом, грн.</w:t>
            </w:r>
          </w:p>
        </w:tc>
      </w:tr>
      <w:tr w:rsidR="00BE5179" w:rsidRPr="00124E2E" w14:paraId="7C1ED965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5DE5C72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A03B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  <w:p w14:paraId="2E8D4A9F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789F5C2E" w14:textId="41CCF709" w:rsidR="00BE5179" w:rsidRPr="00BE5179" w:rsidRDefault="00124E2E" w:rsidP="007322CE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124E2E">
              <w:rPr>
                <w:color w:val="000000"/>
                <w:sz w:val="28"/>
                <w:szCs w:val="28"/>
                <w:lang w:val="uk-UA"/>
              </w:rPr>
              <w:t>Портативна зарядна станція 1000W EB150 сірий BLUETTI (серійний номер RVPOW-38-221027-0001-32)</w:t>
            </w:r>
          </w:p>
        </w:tc>
        <w:tc>
          <w:tcPr>
            <w:tcW w:w="1501" w:type="dxa"/>
            <w:vAlign w:val="center"/>
          </w:tcPr>
          <w:p w14:paraId="14A03EEF" w14:textId="30BB5E34" w:rsidR="00BE5179" w:rsidRPr="00BE5179" w:rsidRDefault="00124E2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00" w:type="dxa"/>
            <w:vAlign w:val="center"/>
          </w:tcPr>
          <w:p w14:paraId="629B11CA" w14:textId="48EF8456" w:rsidR="00BE5179" w:rsidRPr="007322CE" w:rsidRDefault="00124E2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124E2E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46759,43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20670B6" w14:textId="51F227B3" w:rsidR="00BE5179" w:rsidRPr="007322CE" w:rsidRDefault="00124E2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124E2E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46759,43</w:t>
            </w:r>
          </w:p>
        </w:tc>
      </w:tr>
      <w:tr w:rsidR="00BE5179" w:rsidRPr="00124E2E" w14:paraId="0E186C19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E253292" w14:textId="0C178BEE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62" w:type="dxa"/>
          </w:tcPr>
          <w:p w14:paraId="3411E0C2" w14:textId="6C2A6040" w:rsidR="00BE5179" w:rsidRPr="007322CE" w:rsidRDefault="00124E2E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24E2E">
              <w:rPr>
                <w:color w:val="000000"/>
                <w:sz w:val="28"/>
                <w:szCs w:val="28"/>
                <w:lang w:val="en-US"/>
              </w:rPr>
              <w:t>Сонячна</w:t>
            </w:r>
            <w:proofErr w:type="spellEnd"/>
            <w:r w:rsidRPr="00124E2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E2E">
              <w:rPr>
                <w:color w:val="000000"/>
                <w:sz w:val="28"/>
                <w:szCs w:val="28"/>
                <w:lang w:val="en-US"/>
              </w:rPr>
              <w:t>панель</w:t>
            </w:r>
            <w:proofErr w:type="spellEnd"/>
            <w:r w:rsidRPr="00124E2E">
              <w:rPr>
                <w:color w:val="000000"/>
                <w:sz w:val="28"/>
                <w:szCs w:val="28"/>
                <w:lang w:val="en-US"/>
              </w:rPr>
              <w:t xml:space="preserve"> 220W SP200S BLUETTI</w:t>
            </w:r>
          </w:p>
        </w:tc>
        <w:tc>
          <w:tcPr>
            <w:tcW w:w="1501" w:type="dxa"/>
            <w:vAlign w:val="center"/>
          </w:tcPr>
          <w:p w14:paraId="2CE84486" w14:textId="1F19BA8C" w:rsidR="00BE5179" w:rsidRPr="00BE5179" w:rsidRDefault="00124E2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00" w:type="dxa"/>
            <w:vAlign w:val="center"/>
          </w:tcPr>
          <w:p w14:paraId="65999E8C" w14:textId="68A8B4D9" w:rsidR="00BE5179" w:rsidRPr="007322CE" w:rsidRDefault="00124E2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124E2E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20574,05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16440D7" w14:textId="2B2EC692" w:rsidR="00BE5179" w:rsidRPr="007322CE" w:rsidRDefault="00124E2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41148,10</w:t>
            </w:r>
          </w:p>
        </w:tc>
      </w:tr>
      <w:tr w:rsidR="00443153" w:rsidRPr="00EA03BA" w14:paraId="40934ED0" w14:textId="77777777" w:rsidTr="004A207A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14:paraId="77560260" w14:textId="76594C2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39A6094C" w14:textId="6D3B335A" w:rsidR="00443153" w:rsidRPr="00EA03BA" w:rsidRDefault="004A207A" w:rsidP="004A207A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443153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501" w:type="dxa"/>
            <w:vAlign w:val="center"/>
          </w:tcPr>
          <w:p w14:paraId="31BF7C28" w14:textId="28DC7051" w:rsidR="00443153" w:rsidRPr="00EA03BA" w:rsidRDefault="00124E2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00" w:type="dxa"/>
            <w:vAlign w:val="center"/>
          </w:tcPr>
          <w:p w14:paraId="1A0AD251" w14:textId="692873F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C33215A" w14:textId="43E5E43C" w:rsidR="00443153" w:rsidRPr="00EA03BA" w:rsidRDefault="00124E2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87907,53</w:t>
            </w:r>
          </w:p>
        </w:tc>
      </w:tr>
    </w:tbl>
    <w:p w14:paraId="66F2EAFE" w14:textId="77777777" w:rsidR="00726398" w:rsidRPr="00726398" w:rsidRDefault="00726398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</w:p>
    <w:sectPr w:rsidR="00726398" w:rsidRPr="007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F"/>
    <w:rsid w:val="00000DA3"/>
    <w:rsid w:val="00097BBB"/>
    <w:rsid w:val="00124E2E"/>
    <w:rsid w:val="00210A4F"/>
    <w:rsid w:val="00333A93"/>
    <w:rsid w:val="00340432"/>
    <w:rsid w:val="003964FD"/>
    <w:rsid w:val="00443153"/>
    <w:rsid w:val="00451BC9"/>
    <w:rsid w:val="00462C6F"/>
    <w:rsid w:val="004A207A"/>
    <w:rsid w:val="004F1572"/>
    <w:rsid w:val="0054706E"/>
    <w:rsid w:val="005C2A26"/>
    <w:rsid w:val="00726398"/>
    <w:rsid w:val="007322CE"/>
    <w:rsid w:val="00952334"/>
    <w:rsid w:val="009A6DC0"/>
    <w:rsid w:val="00A717E7"/>
    <w:rsid w:val="00BE5179"/>
    <w:rsid w:val="00DF38B8"/>
    <w:rsid w:val="00F34F3B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678657</cp:lastModifiedBy>
  <cp:revision>8</cp:revision>
  <cp:lastPrinted>2023-01-13T07:27:00Z</cp:lastPrinted>
  <dcterms:created xsi:type="dcterms:W3CDTF">2022-12-21T13:17:00Z</dcterms:created>
  <dcterms:modified xsi:type="dcterms:W3CDTF">2023-07-05T09:29:00Z</dcterms:modified>
</cp:coreProperties>
</file>